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54CC6" w14:textId="42784DC0" w:rsidR="004D13EF" w:rsidRPr="009901D5" w:rsidRDefault="004D13EF" w:rsidP="004D13EF">
      <w:pPr>
        <w:pStyle w:val="3GPPHeader"/>
        <w:snapToGrid w:val="0"/>
        <w:rPr>
          <w:sz w:val="22"/>
          <w:szCs w:val="22"/>
        </w:rPr>
      </w:pPr>
      <w:r w:rsidRPr="00F763BB">
        <w:rPr>
          <w:sz w:val="22"/>
          <w:szCs w:val="22"/>
        </w:rPr>
        <w:t>3GPP TSG RAN WG1</w:t>
      </w:r>
      <w:r w:rsidRPr="009901D5">
        <w:rPr>
          <w:sz w:val="22"/>
          <w:szCs w:val="22"/>
        </w:rPr>
        <w:t xml:space="preserve">#104-e                                </w:t>
      </w:r>
      <w:r w:rsidRPr="009901D5">
        <w:rPr>
          <w:sz w:val="22"/>
          <w:szCs w:val="22"/>
        </w:rPr>
        <w:tab/>
      </w:r>
      <w:r w:rsidR="00520D17" w:rsidRPr="00520D17">
        <w:rPr>
          <w:sz w:val="22"/>
          <w:szCs w:val="22"/>
        </w:rPr>
        <w:t>R1-2100976</w:t>
      </w:r>
    </w:p>
    <w:p w14:paraId="6786BDAD" w14:textId="4CDE5AA5" w:rsidR="005E1F4B" w:rsidRPr="00A45103" w:rsidRDefault="004D13EF" w:rsidP="004D13EF">
      <w:pPr>
        <w:pStyle w:val="3GPPHeader"/>
        <w:snapToGrid w:val="0"/>
        <w:rPr>
          <w:sz w:val="22"/>
          <w:szCs w:val="22"/>
        </w:rPr>
      </w:pPr>
      <w:r w:rsidRPr="009901D5">
        <w:rPr>
          <w:sz w:val="22"/>
          <w:szCs w:val="22"/>
        </w:rPr>
        <w:t>e-Meeting, January 25</w:t>
      </w:r>
      <w:r w:rsidRPr="0005532F">
        <w:rPr>
          <w:sz w:val="22"/>
          <w:szCs w:val="22"/>
          <w:vertAlign w:val="superscript"/>
        </w:rPr>
        <w:t>th</w:t>
      </w:r>
      <w:r w:rsidR="0005532F">
        <w:rPr>
          <w:sz w:val="22"/>
          <w:szCs w:val="22"/>
        </w:rPr>
        <w:t xml:space="preserve"> </w:t>
      </w:r>
      <w:r w:rsidRPr="009901D5">
        <w:rPr>
          <w:sz w:val="22"/>
          <w:szCs w:val="22"/>
        </w:rPr>
        <w:t>– February 5</w:t>
      </w:r>
      <w:r w:rsidRPr="0005532F">
        <w:rPr>
          <w:sz w:val="22"/>
          <w:szCs w:val="22"/>
          <w:vertAlign w:val="superscript"/>
        </w:rPr>
        <w:t>th</w:t>
      </w:r>
      <w:r w:rsidRPr="009901D5">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70A44F5F"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r w:rsidR="003C5EA8">
        <w:rPr>
          <w:sz w:val="22"/>
          <w:szCs w:val="22"/>
        </w:rPr>
        <w:t>, FGI</w:t>
      </w:r>
    </w:p>
    <w:p w14:paraId="1CC03627" w14:textId="2B3C7FCF"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584790">
        <w:rPr>
          <w:sz w:val="22"/>
          <w:szCs w:val="22"/>
        </w:rPr>
        <w:t>T</w:t>
      </w:r>
      <w:r w:rsidR="00584790" w:rsidRPr="00584790">
        <w:rPr>
          <w:sz w:val="22"/>
          <w:szCs w:val="22"/>
        </w:rPr>
        <w:t>ime and frequency synchronization</w:t>
      </w:r>
      <w:r w:rsidR="00584790">
        <w:rPr>
          <w:sz w:val="22"/>
          <w:szCs w:val="22"/>
        </w:rPr>
        <w:t xml:space="preserve"> to NB-IoT</w:t>
      </w:r>
      <w:r w:rsidR="0093153F">
        <w:rPr>
          <w:sz w:val="22"/>
          <w:szCs w:val="22"/>
        </w:rPr>
        <w:t xml:space="preserve"> </w:t>
      </w:r>
      <w:r w:rsidR="00F07BD9">
        <w:rPr>
          <w:sz w:val="22"/>
          <w:szCs w:val="22"/>
        </w:rPr>
        <w:t>in NTN</w:t>
      </w:r>
    </w:p>
    <w:p w14:paraId="14EA2A19" w14:textId="38EF772D"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w:t>
      </w:r>
      <w:r w:rsidR="00DB0F1F">
        <w:rPr>
          <w:sz w:val="22"/>
          <w:szCs w:val="22"/>
        </w:rPr>
        <w:t>15</w:t>
      </w:r>
      <w:r w:rsidR="00D07766">
        <w:rPr>
          <w:sz w:val="22"/>
          <w:szCs w:val="22"/>
        </w:rPr>
        <w:t>.</w:t>
      </w:r>
      <w:r w:rsidR="00584790">
        <w:rPr>
          <w:sz w:val="22"/>
          <w:szCs w:val="22"/>
        </w:rPr>
        <w:t>2</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3A511F0F" w14:textId="1202624F" w:rsidR="00FB750F" w:rsidRPr="001E6B16" w:rsidRDefault="00FB750F" w:rsidP="008C47FD">
      <w:pPr>
        <w:spacing w:after="240"/>
      </w:pPr>
      <w:r>
        <w:t>In RAN#</w:t>
      </w:r>
      <w:r w:rsidR="001E6B16">
        <w:t>90</w:t>
      </w:r>
      <w:r>
        <w:t xml:space="preserve">, </w:t>
      </w:r>
      <w:r w:rsidR="001E6B16" w:rsidRPr="001E6B16">
        <w:t>to address the minimum specification</w:t>
      </w:r>
      <w:r w:rsidR="00D26A00">
        <w:t xml:space="preserve">s </w:t>
      </w:r>
      <w:r w:rsidR="001E6B16" w:rsidRPr="001E6B16">
        <w:t>for NB-IoT</w:t>
      </w:r>
      <w:r w:rsidR="00D26A00">
        <w:t>, t</w:t>
      </w:r>
      <w:r w:rsidR="00D26A00" w:rsidRPr="0093394A">
        <w:t xml:space="preserve">he following </w:t>
      </w:r>
      <w:r w:rsidR="00D26A00" w:rsidRPr="001E6B16">
        <w:t>objectives</w:t>
      </w:r>
      <w:r w:rsidR="001E6B16">
        <w:t xml:space="preserve"> have been confirmed in </w:t>
      </w:r>
      <w:hyperlink r:id="rId11" w:history="1">
        <w:r w:rsidR="001E6B16" w:rsidRPr="001E6B16">
          <w:rPr>
            <w:rStyle w:val="Hyperlink"/>
          </w:rPr>
          <w:t>RP-202689</w:t>
        </w:r>
      </w:hyperlink>
      <w:r w:rsidR="001E6B16" w:rsidRPr="00D26A00">
        <w:rPr>
          <w:lang w:val="en-US"/>
        </w:rPr>
        <w:t xml:space="preserve"> </w:t>
      </w:r>
      <w:r w:rsidR="001E6B16" w:rsidRPr="001E6B16">
        <w:t xml:space="preserve">for </w:t>
      </w:r>
      <w:r w:rsidR="00D26A00">
        <w:t xml:space="preserve">the </w:t>
      </w:r>
      <w:r w:rsidR="001E6B16" w:rsidRPr="001E6B16">
        <w:t xml:space="preserve">detailed scope of the </w:t>
      </w:r>
      <w:r w:rsidR="001E6B16">
        <w:t>Rel-17 S</w:t>
      </w:r>
      <w:r w:rsidR="001E6B16" w:rsidRPr="001E6B16">
        <w:t>I.</w:t>
      </w:r>
    </w:p>
    <w:tbl>
      <w:tblPr>
        <w:tblStyle w:val="TableGrid"/>
        <w:tblW w:w="0" w:type="auto"/>
        <w:tblLook w:val="04A0" w:firstRow="1" w:lastRow="0" w:firstColumn="1" w:lastColumn="0" w:noHBand="0" w:noVBand="1"/>
      </w:tblPr>
      <w:tblGrid>
        <w:gridCol w:w="9350"/>
      </w:tblGrid>
      <w:tr w:rsidR="00D26A00" w14:paraId="438E3416" w14:textId="77777777" w:rsidTr="00D26A00">
        <w:tc>
          <w:tcPr>
            <w:tcW w:w="9350" w:type="dxa"/>
          </w:tcPr>
          <w:bookmarkStart w:id="0" w:name="_Hlk61512111"/>
          <w:p w14:paraId="3181F34C" w14:textId="00823A48" w:rsidR="00D26A00" w:rsidRDefault="00D26A00" w:rsidP="00D26A00">
            <w:pPr>
              <w:snapToGrid w:val="0"/>
              <w:spacing w:before="120"/>
              <w:rPr>
                <w:szCs w:val="22"/>
              </w:rPr>
            </w:pPr>
            <w:r w:rsidRPr="001E6B16">
              <w:fldChar w:fldCharType="begin"/>
            </w:r>
            <w:r w:rsidRPr="001E6B16">
              <w:instrText xml:space="preserve"> HYPERLINK "http://www.3gpp.org/ftp/tsg_ran/TSG_RAN/TSGR_90e/Docs/RP-202689.zip" </w:instrText>
            </w:r>
            <w:r w:rsidRPr="001E6B16">
              <w:fldChar w:fldCharType="separate"/>
            </w:r>
            <w:r w:rsidRPr="001E6B16">
              <w:rPr>
                <w:rStyle w:val="Hyperlink"/>
              </w:rPr>
              <w:t>RP-202689</w:t>
            </w:r>
            <w:r w:rsidRPr="001E6B16">
              <w:fldChar w:fldCharType="end"/>
            </w:r>
          </w:p>
          <w:p w14:paraId="5B3573DF" w14:textId="10FC136D" w:rsidR="00D26A00" w:rsidRPr="00D26A00" w:rsidRDefault="00D26A00" w:rsidP="00D26A00">
            <w:pPr>
              <w:snapToGrid w:val="0"/>
              <w:spacing w:before="120"/>
              <w:rPr>
                <w:szCs w:val="22"/>
              </w:rPr>
            </w:pPr>
            <w:r w:rsidRPr="00D26A00">
              <w:rPr>
                <w:szCs w:val="22"/>
              </w:rPr>
              <w:t>The first objective of this Study is to identify scenarios applicable to NB-IoT/</w:t>
            </w:r>
            <w:proofErr w:type="spellStart"/>
            <w:r w:rsidRPr="00D26A00">
              <w:rPr>
                <w:szCs w:val="22"/>
              </w:rPr>
              <w:t>eMTC</w:t>
            </w:r>
            <w:proofErr w:type="spellEnd"/>
            <w:r w:rsidRPr="00D26A00">
              <w:rPr>
                <w:szCs w:val="22"/>
              </w:rPr>
              <w:t xml:space="preserve"> [RAN1, RAN2], including:</w:t>
            </w:r>
          </w:p>
          <w:p w14:paraId="2CAB1CB6" w14:textId="13CF65BF" w:rsidR="00D26A00" w:rsidRPr="00D26A00" w:rsidRDefault="00D26A00" w:rsidP="00D26A00">
            <w:pPr>
              <w:pStyle w:val="ListParagraph"/>
              <w:numPr>
                <w:ilvl w:val="0"/>
                <w:numId w:val="23"/>
              </w:numPr>
              <w:spacing w:before="120"/>
            </w:pPr>
            <w:r w:rsidRPr="00D26A00">
              <w:t>Bands of interest in sub 6 GHz</w:t>
            </w:r>
          </w:p>
          <w:p w14:paraId="3B793EC5" w14:textId="43255DE1" w:rsidR="00D26A00" w:rsidRPr="00D26A00" w:rsidRDefault="00D26A00" w:rsidP="00D26A00">
            <w:pPr>
              <w:pStyle w:val="ListParagraph"/>
              <w:numPr>
                <w:ilvl w:val="0"/>
                <w:numId w:val="23"/>
              </w:numPr>
              <w:spacing w:before="120"/>
            </w:pPr>
            <w:r w:rsidRPr="00D26A00">
              <w:t xml:space="preserve">Device type with PC3 or PC5 (LEO and GEO) </w:t>
            </w:r>
          </w:p>
          <w:p w14:paraId="3569DE70" w14:textId="00C8DFD4" w:rsidR="00D26A00" w:rsidRPr="00D26A00" w:rsidRDefault="00D26A00" w:rsidP="00D26A00">
            <w:pPr>
              <w:pStyle w:val="ListParagraph"/>
              <w:numPr>
                <w:ilvl w:val="0"/>
                <w:numId w:val="23"/>
              </w:numPr>
              <w:spacing w:before="120"/>
            </w:pPr>
            <w:r w:rsidRPr="00D26A00">
              <w:t xml:space="preserve">Satellite constellation orbit LEO and GEO </w:t>
            </w:r>
          </w:p>
          <w:p w14:paraId="3987447B" w14:textId="4C82A968" w:rsidR="00D26A00" w:rsidRPr="00D26A00" w:rsidRDefault="00D26A00" w:rsidP="00D26A00">
            <w:pPr>
              <w:pStyle w:val="ListParagraph"/>
              <w:numPr>
                <w:ilvl w:val="0"/>
                <w:numId w:val="23"/>
              </w:numPr>
              <w:spacing w:before="120"/>
            </w:pPr>
            <w:r w:rsidRPr="00D26A00">
              <w:t>Transparent payload.</w:t>
            </w:r>
          </w:p>
          <w:p w14:paraId="155AFBB4" w14:textId="368C676A" w:rsidR="00D26A00" w:rsidRPr="00D26A00" w:rsidRDefault="00D26A00" w:rsidP="00D26A00">
            <w:pPr>
              <w:pStyle w:val="ListParagraph"/>
              <w:numPr>
                <w:ilvl w:val="0"/>
                <w:numId w:val="23"/>
              </w:numPr>
              <w:spacing w:before="120"/>
            </w:pPr>
            <w:r w:rsidRPr="00D26A00">
              <w:t>Link budget</w:t>
            </w:r>
          </w:p>
          <w:p w14:paraId="5E76D3C6" w14:textId="77777777" w:rsidR="00D26A00" w:rsidRPr="00D26A00" w:rsidRDefault="00D26A00" w:rsidP="00D26A00">
            <w:pPr>
              <w:snapToGrid w:val="0"/>
              <w:spacing w:before="120"/>
              <w:rPr>
                <w:szCs w:val="22"/>
              </w:rPr>
            </w:pPr>
            <w:r w:rsidRPr="00D26A00">
              <w:rPr>
                <w:szCs w:val="22"/>
              </w:rPr>
              <w:t>NOTE 1: This first objective will be based on the scenarios documented in TR 38.821.</w:t>
            </w:r>
          </w:p>
          <w:p w14:paraId="4636F19A" w14:textId="7903A4D7" w:rsidR="00D26A00" w:rsidRDefault="00D26A00" w:rsidP="00D26A00">
            <w:pPr>
              <w:snapToGrid w:val="0"/>
              <w:spacing w:before="120"/>
              <w:rPr>
                <w:szCs w:val="22"/>
              </w:rPr>
            </w:pPr>
            <w:r w:rsidRPr="00D26A00">
              <w:rPr>
                <w:szCs w:val="22"/>
              </w:rPr>
              <w:t>NOTE 2: UE mobility assumptions follow terrestrial NB-IoT/</w:t>
            </w:r>
            <w:proofErr w:type="spellStart"/>
            <w:r w:rsidRPr="00D26A00">
              <w:rPr>
                <w:szCs w:val="22"/>
              </w:rPr>
              <w:t>eMTC</w:t>
            </w:r>
            <w:proofErr w:type="spellEnd"/>
            <w:r w:rsidRPr="00D26A00">
              <w:rPr>
                <w:szCs w:val="22"/>
              </w:rPr>
              <w:t xml:space="preserve"> assumptions.</w:t>
            </w:r>
          </w:p>
          <w:bookmarkEnd w:id="0"/>
          <w:p w14:paraId="460D210A" w14:textId="631560FF" w:rsidR="00D26A00" w:rsidRPr="00D26A00" w:rsidRDefault="00D26A00" w:rsidP="00D26A00">
            <w:pPr>
              <w:snapToGrid w:val="0"/>
              <w:spacing w:before="120"/>
              <w:rPr>
                <w:szCs w:val="22"/>
              </w:rPr>
            </w:pPr>
            <w:r w:rsidRPr="00D26A00">
              <w:rPr>
                <w:szCs w:val="22"/>
              </w:rPr>
              <w:t xml:space="preserve">The second objective is, for the above identified scenarios, to study and recommend necessary changes to support NB-IoT and </w:t>
            </w:r>
            <w:proofErr w:type="spellStart"/>
            <w:r w:rsidRPr="00D26A00">
              <w:rPr>
                <w:szCs w:val="22"/>
              </w:rPr>
              <w:t>eMTC</w:t>
            </w:r>
            <w:proofErr w:type="spellEnd"/>
            <w:r w:rsidRPr="00D26A00">
              <w:rPr>
                <w:szCs w:val="22"/>
              </w:rPr>
              <w:t xml:space="preserve"> over satellite, reusing as much as possible the conclusions of the studies performed for NR NTN in TR38.821. This objective will address the following items: </w:t>
            </w:r>
          </w:p>
          <w:p w14:paraId="00B94518" w14:textId="4D53386E" w:rsidR="00D26A00" w:rsidRPr="00D26A00" w:rsidRDefault="00D26A00" w:rsidP="00D26A00">
            <w:pPr>
              <w:pStyle w:val="ListParagraph"/>
              <w:numPr>
                <w:ilvl w:val="0"/>
                <w:numId w:val="24"/>
              </w:numPr>
              <w:spacing w:before="120"/>
            </w:pPr>
            <w:r w:rsidRPr="00D26A00">
              <w:t>Aspects related to random access procedure/signals [RAN1, RAN2]</w:t>
            </w:r>
          </w:p>
          <w:p w14:paraId="5E9C4FA2" w14:textId="4079281E" w:rsidR="00D26A00" w:rsidRPr="00D26A00" w:rsidRDefault="00D26A00" w:rsidP="00D26A00">
            <w:pPr>
              <w:pStyle w:val="ListParagraph"/>
              <w:numPr>
                <w:ilvl w:val="0"/>
                <w:numId w:val="24"/>
              </w:numPr>
              <w:spacing w:before="120"/>
            </w:pPr>
            <w:r w:rsidRPr="00D26A00">
              <w:t>Mechanisms for time/frequency adjustment including Timing Advance, and UL frequency compensation indication [RAN1, RAN2]</w:t>
            </w:r>
          </w:p>
          <w:p w14:paraId="2DA7D03F" w14:textId="6A8542FB" w:rsidR="00D26A00" w:rsidRPr="00D26A00" w:rsidRDefault="00D26A00" w:rsidP="00D26A00">
            <w:pPr>
              <w:pStyle w:val="ListParagraph"/>
              <w:numPr>
                <w:ilvl w:val="0"/>
                <w:numId w:val="24"/>
              </w:numPr>
              <w:spacing w:before="120"/>
            </w:pPr>
            <w:r w:rsidRPr="00D26A00">
              <w:t>Timing offset related to scheduling and HARQ-ACK feedback [RAN1, RAN2]</w:t>
            </w:r>
          </w:p>
          <w:p w14:paraId="19ECD063" w14:textId="4E65D458" w:rsidR="00D26A00" w:rsidRPr="00D26A00" w:rsidRDefault="00D26A00" w:rsidP="00D26A00">
            <w:pPr>
              <w:pStyle w:val="ListParagraph"/>
              <w:numPr>
                <w:ilvl w:val="0"/>
                <w:numId w:val="24"/>
              </w:numPr>
              <w:spacing w:before="120"/>
            </w:pPr>
            <w:r w:rsidRPr="00D26A00">
              <w:t>Aspects related to HARQ operation [RAN2, RAN1]</w:t>
            </w:r>
          </w:p>
          <w:p w14:paraId="2D033517" w14:textId="6AAE9AC1" w:rsidR="00D26A00" w:rsidRPr="00D26A00" w:rsidRDefault="00D26A00" w:rsidP="00D26A00">
            <w:pPr>
              <w:pStyle w:val="ListParagraph"/>
              <w:numPr>
                <w:ilvl w:val="0"/>
                <w:numId w:val="24"/>
              </w:numPr>
              <w:spacing w:before="120"/>
            </w:pPr>
            <w:r w:rsidRPr="00D26A00">
              <w:t>General aspects related to timers (</w:t>
            </w:r>
            <w:r w:rsidR="00B83814" w:rsidRPr="00D26A00">
              <w:t>e.g.,</w:t>
            </w:r>
            <w:r w:rsidRPr="00D26A00">
              <w:t xml:space="preserve"> SR, DRX, etc.) [RAN2]</w:t>
            </w:r>
          </w:p>
          <w:p w14:paraId="6F188600" w14:textId="7F71D84A" w:rsidR="00D26A00" w:rsidRPr="00D26A00" w:rsidRDefault="00D26A00" w:rsidP="00D26A00">
            <w:pPr>
              <w:pStyle w:val="ListParagraph"/>
              <w:numPr>
                <w:ilvl w:val="0"/>
                <w:numId w:val="24"/>
              </w:numPr>
              <w:spacing w:before="120"/>
            </w:pPr>
            <w:r w:rsidRPr="00D26A00">
              <w:t>RAN2 aspects related to idle mode and connected mode mobility [RAN2]</w:t>
            </w:r>
          </w:p>
          <w:p w14:paraId="1AD99541" w14:textId="4B6E2CCE" w:rsidR="00D26A00" w:rsidRPr="00D26A00" w:rsidRDefault="00D26A00" w:rsidP="00D26A00">
            <w:pPr>
              <w:pStyle w:val="ListParagraph"/>
              <w:numPr>
                <w:ilvl w:val="0"/>
                <w:numId w:val="24"/>
              </w:numPr>
              <w:spacing w:before="120"/>
            </w:pPr>
            <w:r w:rsidRPr="00D26A00">
              <w:t>RLF-based for NB-IoT</w:t>
            </w:r>
          </w:p>
          <w:p w14:paraId="283F9DC8" w14:textId="5B74C118" w:rsidR="00D26A00" w:rsidRPr="00D26A00" w:rsidRDefault="00D26A00" w:rsidP="00D26A00">
            <w:pPr>
              <w:pStyle w:val="ListParagraph"/>
              <w:numPr>
                <w:ilvl w:val="0"/>
                <w:numId w:val="24"/>
              </w:numPr>
              <w:spacing w:before="120"/>
            </w:pPr>
            <w:r w:rsidRPr="00D26A00">
              <w:t xml:space="preserve">Handover-based for </w:t>
            </w:r>
            <w:proofErr w:type="spellStart"/>
            <w:r w:rsidRPr="00D26A00">
              <w:t>eMTC</w:t>
            </w:r>
            <w:proofErr w:type="spellEnd"/>
          </w:p>
          <w:p w14:paraId="2B94B9DB" w14:textId="65D35D35" w:rsidR="00D26A00" w:rsidRPr="00D26A00" w:rsidRDefault="00D26A00" w:rsidP="00D26A00">
            <w:pPr>
              <w:pStyle w:val="ListParagraph"/>
              <w:numPr>
                <w:ilvl w:val="0"/>
                <w:numId w:val="24"/>
              </w:numPr>
              <w:spacing w:before="120"/>
            </w:pPr>
            <w:r w:rsidRPr="00D26A00">
              <w:t>System information enhancements [RAN2]</w:t>
            </w:r>
          </w:p>
          <w:p w14:paraId="4902EDAE" w14:textId="20877EEB" w:rsidR="00D26A00" w:rsidRPr="00D26A00" w:rsidRDefault="00D26A00" w:rsidP="00D26A00">
            <w:pPr>
              <w:pStyle w:val="ListParagraph"/>
              <w:numPr>
                <w:ilvl w:val="0"/>
                <w:numId w:val="24"/>
              </w:numPr>
              <w:spacing w:before="120"/>
            </w:pPr>
            <w:r w:rsidRPr="00D26A00">
              <w:t>Tracking area enhancements [RAN2]</w:t>
            </w:r>
          </w:p>
          <w:p w14:paraId="239FC67B" w14:textId="1065120B" w:rsidR="00D26A00" w:rsidRDefault="00D26A00" w:rsidP="00D26A00">
            <w:pPr>
              <w:snapToGrid w:val="0"/>
              <w:spacing w:before="120"/>
              <w:rPr>
                <w:szCs w:val="22"/>
              </w:rPr>
            </w:pPr>
            <w:r w:rsidRPr="00D26A00">
              <w:rPr>
                <w:szCs w:val="22"/>
              </w:rPr>
              <w:t xml:space="preserve">NOTE 3: </w:t>
            </w:r>
            <w:r w:rsidRPr="00D26A00">
              <w:rPr>
                <w:szCs w:val="22"/>
              </w:rPr>
              <w:tab/>
              <w:t xml:space="preserve">GNSS capability in the UE is taken as a working assumption in this study for both NB-IoT and </w:t>
            </w:r>
            <w:proofErr w:type="spellStart"/>
            <w:r w:rsidRPr="00D26A00">
              <w:rPr>
                <w:szCs w:val="22"/>
              </w:rPr>
              <w:t>eMTC</w:t>
            </w:r>
            <w:proofErr w:type="spellEnd"/>
            <w:r w:rsidRPr="00D26A00">
              <w:rPr>
                <w:szCs w:val="22"/>
              </w:rPr>
              <w:t xml:space="preserve"> devices. With this assumption, UE can estimate and pre-compensate timing and frequency offset with sufficient accuracy for UL transmission. Simultaneous GNSS and NTN NB-IoT/</w:t>
            </w:r>
            <w:proofErr w:type="spellStart"/>
            <w:r w:rsidRPr="00D26A00">
              <w:rPr>
                <w:szCs w:val="22"/>
              </w:rPr>
              <w:t>eMTC</w:t>
            </w:r>
            <w:proofErr w:type="spellEnd"/>
            <w:r w:rsidRPr="00D26A00">
              <w:rPr>
                <w:szCs w:val="22"/>
              </w:rPr>
              <w:t xml:space="preserve"> operation is not assumed.</w:t>
            </w:r>
          </w:p>
        </w:tc>
      </w:tr>
    </w:tbl>
    <w:p w14:paraId="7C5E6990" w14:textId="3F028FCC" w:rsidR="00CA65D6" w:rsidRDefault="00CA65D6" w:rsidP="0093394A">
      <w:pPr>
        <w:snapToGrid w:val="0"/>
        <w:spacing w:before="240"/>
        <w:rPr>
          <w:szCs w:val="22"/>
        </w:rPr>
      </w:pPr>
      <w:r>
        <w:rPr>
          <w:szCs w:val="22"/>
        </w:rPr>
        <w:t>A</w:t>
      </w:r>
      <w:r w:rsidRPr="00CA65D6">
        <w:rPr>
          <w:szCs w:val="22"/>
        </w:rPr>
        <w:t xml:space="preserve">s </w:t>
      </w:r>
      <w:r w:rsidR="003505C3">
        <w:rPr>
          <w:szCs w:val="22"/>
        </w:rPr>
        <w:t>a</w:t>
      </w:r>
      <w:r w:rsidRPr="00CA65D6">
        <w:rPr>
          <w:szCs w:val="22"/>
        </w:rPr>
        <w:t xml:space="preserve"> recommendation from </w:t>
      </w:r>
      <w:r>
        <w:rPr>
          <w:szCs w:val="22"/>
        </w:rPr>
        <w:t xml:space="preserve">the </w:t>
      </w:r>
      <w:r w:rsidR="00D26A00">
        <w:rPr>
          <w:szCs w:val="22"/>
        </w:rPr>
        <w:t>r</w:t>
      </w:r>
      <w:r w:rsidR="00D26A00" w:rsidRPr="00D26A00">
        <w:rPr>
          <w:szCs w:val="22"/>
        </w:rPr>
        <w:t xml:space="preserve">apporteur </w:t>
      </w:r>
      <w:r w:rsidR="00493C71">
        <w:rPr>
          <w:szCs w:val="22"/>
        </w:rPr>
        <w:t>in</w:t>
      </w:r>
      <w:r w:rsidR="00D26A00">
        <w:rPr>
          <w:szCs w:val="22"/>
        </w:rPr>
        <w:t xml:space="preserve"> </w:t>
      </w:r>
      <w:hyperlink r:id="rId12" w:history="1">
        <w:r w:rsidR="00D26A00" w:rsidRPr="00D26A00">
          <w:rPr>
            <w:rStyle w:val="Hyperlink"/>
            <w:szCs w:val="22"/>
          </w:rPr>
          <w:t>RP-202689</w:t>
        </w:r>
      </w:hyperlink>
      <w:r w:rsidR="00C23A09">
        <w:rPr>
          <w:szCs w:val="22"/>
        </w:rPr>
        <w:t xml:space="preserve">, </w:t>
      </w:r>
      <w:r>
        <w:rPr>
          <w:szCs w:val="22"/>
        </w:rPr>
        <w:t xml:space="preserve">the following </w:t>
      </w:r>
      <w:r w:rsidRPr="00CA65D6">
        <w:rPr>
          <w:szCs w:val="22"/>
        </w:rPr>
        <w:t>discussion</w:t>
      </w:r>
      <w:r w:rsidR="00AC5D71">
        <w:rPr>
          <w:szCs w:val="22"/>
        </w:rPr>
        <w:t>s</w:t>
      </w:r>
      <w:r w:rsidRPr="00CA65D6">
        <w:rPr>
          <w:szCs w:val="22"/>
        </w:rPr>
        <w:t xml:space="preserve"> </w:t>
      </w:r>
      <w:r>
        <w:rPr>
          <w:szCs w:val="22"/>
        </w:rPr>
        <w:t>w</w:t>
      </w:r>
      <w:r w:rsidR="00AC5D71">
        <w:rPr>
          <w:szCs w:val="22"/>
        </w:rPr>
        <w:t>ere</w:t>
      </w:r>
      <w:r>
        <w:rPr>
          <w:szCs w:val="22"/>
        </w:rPr>
        <w:t xml:space="preserve"> encouraged</w:t>
      </w:r>
      <w:r w:rsidRPr="00CA65D6">
        <w:rPr>
          <w:szCs w:val="22"/>
        </w:rPr>
        <w:t>.</w:t>
      </w:r>
    </w:p>
    <w:p w14:paraId="46BDF8E1" w14:textId="77777777" w:rsidR="00D26A00" w:rsidRPr="00D26A00" w:rsidRDefault="00D26A00" w:rsidP="00D26A00">
      <w:pPr>
        <w:pStyle w:val="ListParagraph"/>
        <w:numPr>
          <w:ilvl w:val="0"/>
          <w:numId w:val="25"/>
        </w:numPr>
        <w:spacing w:before="120"/>
        <w:rPr>
          <w:i/>
          <w:iCs/>
        </w:rPr>
      </w:pPr>
      <w:r w:rsidRPr="00D26A00">
        <w:rPr>
          <w:i/>
          <w:iCs/>
        </w:rPr>
        <w:t>Aspects related to random access procedure/signals [RAN1, RAN2]</w:t>
      </w:r>
    </w:p>
    <w:p w14:paraId="0101A9A8" w14:textId="77777777" w:rsidR="00D26A00" w:rsidRPr="00D26A00" w:rsidRDefault="00D26A00" w:rsidP="00D26A00">
      <w:pPr>
        <w:pStyle w:val="ListParagraph"/>
        <w:numPr>
          <w:ilvl w:val="0"/>
          <w:numId w:val="25"/>
        </w:numPr>
        <w:spacing w:before="120"/>
        <w:rPr>
          <w:i/>
          <w:iCs/>
        </w:rPr>
      </w:pPr>
      <w:r w:rsidRPr="00D26A00">
        <w:rPr>
          <w:i/>
          <w:iCs/>
        </w:rPr>
        <w:t>Mechanisms for time/frequency adjustment including Timing Advance, and UL frequency compensation indication [RAN1, RAN2]</w:t>
      </w:r>
    </w:p>
    <w:p w14:paraId="18B634BC" w14:textId="251F583A" w:rsidR="00BD2064" w:rsidRDefault="00FB750F" w:rsidP="0093394A">
      <w:pPr>
        <w:spacing w:before="120"/>
      </w:pPr>
      <w:r>
        <w:t xml:space="preserve">In this contribution, we </w:t>
      </w:r>
      <w:r w:rsidR="00391B61">
        <w:t xml:space="preserve">will provide </w:t>
      </w:r>
      <w:r w:rsidR="00B83814">
        <w:t>some initial</w:t>
      </w:r>
      <w:r>
        <w:t xml:space="preserve"> </w:t>
      </w:r>
      <w:r w:rsidR="00A25E20">
        <w:t>discuss</w:t>
      </w:r>
      <w:r w:rsidR="00391B61">
        <w:t>ion</w:t>
      </w:r>
      <w:r w:rsidR="00A25E20">
        <w:t xml:space="preserve"> </w:t>
      </w:r>
      <w:r w:rsidR="00CA65D6">
        <w:t xml:space="preserve">on </w:t>
      </w:r>
    </w:p>
    <w:p w14:paraId="6914B563" w14:textId="4B3D043F" w:rsidR="00B83814" w:rsidRPr="00B83814" w:rsidRDefault="002F0281" w:rsidP="00CE1EB6">
      <w:pPr>
        <w:numPr>
          <w:ilvl w:val="0"/>
          <w:numId w:val="6"/>
        </w:numPr>
        <w:overflowPunct/>
        <w:autoSpaceDE/>
        <w:autoSpaceDN/>
        <w:adjustRightInd/>
        <w:spacing w:before="120" w:after="0"/>
        <w:contextualSpacing/>
        <w:jc w:val="left"/>
        <w:textAlignment w:val="auto"/>
      </w:pPr>
      <w:r>
        <w:rPr>
          <w:rFonts w:eastAsia="SimSun"/>
          <w:szCs w:val="22"/>
          <w:lang w:eastAsia="ja-JP"/>
        </w:rPr>
        <w:lastRenderedPageBreak/>
        <w:t>Initial access</w:t>
      </w:r>
    </w:p>
    <w:p w14:paraId="51A98EA0" w14:textId="22254FB0" w:rsidR="0093394A" w:rsidRPr="00B83814" w:rsidRDefault="00B83814" w:rsidP="00CE1EB6">
      <w:pPr>
        <w:numPr>
          <w:ilvl w:val="0"/>
          <w:numId w:val="6"/>
        </w:numPr>
        <w:overflowPunct/>
        <w:autoSpaceDE/>
        <w:autoSpaceDN/>
        <w:adjustRightInd/>
        <w:spacing w:before="120" w:after="0"/>
        <w:contextualSpacing/>
        <w:jc w:val="left"/>
        <w:textAlignment w:val="auto"/>
      </w:pPr>
      <w:r w:rsidRPr="00B83814">
        <w:rPr>
          <w:rFonts w:eastAsia="SimSun"/>
          <w:szCs w:val="22"/>
          <w:lang w:eastAsia="ja-JP"/>
        </w:rPr>
        <w:t>time and frequency adjustment</w:t>
      </w:r>
    </w:p>
    <w:p w14:paraId="3677EB88" w14:textId="77777777" w:rsidR="00975525" w:rsidRDefault="00975525" w:rsidP="00975525">
      <w:pPr>
        <w:overflowPunct/>
        <w:autoSpaceDE/>
        <w:autoSpaceDN/>
        <w:adjustRightInd/>
        <w:spacing w:before="120" w:after="0"/>
        <w:contextualSpacing/>
        <w:jc w:val="left"/>
        <w:textAlignment w:val="auto"/>
      </w:pPr>
    </w:p>
    <w:p w14:paraId="491C27BF" w14:textId="4C49A04F" w:rsidR="00EC2855" w:rsidRDefault="00EC2855" w:rsidP="00EC2855">
      <w:pPr>
        <w:pStyle w:val="Heading1"/>
      </w:pPr>
      <w:r>
        <w:t>Discussion</w:t>
      </w:r>
    </w:p>
    <w:p w14:paraId="404BDF1E" w14:textId="02775AAE" w:rsidR="00B83814" w:rsidRDefault="002F0281" w:rsidP="00B83814">
      <w:pPr>
        <w:pStyle w:val="Heading2"/>
        <w:rPr>
          <w:lang w:val="en-US" w:eastAsia="zh-TW"/>
        </w:rPr>
      </w:pPr>
      <w:r>
        <w:rPr>
          <w:lang w:val="en-US" w:eastAsia="zh-TW"/>
        </w:rPr>
        <w:t>Initial access</w:t>
      </w:r>
    </w:p>
    <w:p w14:paraId="080E87A2" w14:textId="3D9BB152" w:rsidR="002F0281" w:rsidRPr="002F0281" w:rsidRDefault="002F0281" w:rsidP="002F0281">
      <w:pPr>
        <w:rPr>
          <w:lang w:val="en-US" w:eastAsia="zh-TW"/>
        </w:rPr>
      </w:pPr>
      <w:r w:rsidRPr="002F0281">
        <w:rPr>
          <w:lang w:val="en-US" w:eastAsia="zh-TW"/>
        </w:rPr>
        <w:t xml:space="preserve">UL synchronization includes UL timing and UL frequency enhancement to accommodate NTN needs, e.g., large cell size and high Doppler. Also, legacy solutions in existing satellite systems, e.g., partial frequency pre-compensation for DL and timing post-compensation at the satellite network side, are considered. </w:t>
      </w:r>
    </w:p>
    <w:p w14:paraId="30760E2C" w14:textId="77777777" w:rsidR="002F0281" w:rsidRPr="002F0281" w:rsidRDefault="002F0281" w:rsidP="002F0281">
      <w:pPr>
        <w:pStyle w:val="Heading3"/>
        <w:rPr>
          <w:lang w:val="en-US" w:eastAsia="zh-TW"/>
        </w:rPr>
      </w:pPr>
      <w:r w:rsidRPr="002F0281">
        <w:rPr>
          <w:lang w:val="en-US" w:eastAsia="zh-TW"/>
        </w:rPr>
        <w:t>DL synchronization</w:t>
      </w:r>
    </w:p>
    <w:p w14:paraId="3C0A69ED" w14:textId="77777777" w:rsidR="002F0281" w:rsidRPr="002F0281" w:rsidRDefault="002F0281" w:rsidP="002F0281">
      <w:pPr>
        <w:rPr>
          <w:u w:val="single"/>
          <w:lang w:val="en-US" w:eastAsia="zh-TW"/>
        </w:rPr>
      </w:pPr>
      <w:r w:rsidRPr="002F0281">
        <w:rPr>
          <w:u w:val="single"/>
          <w:lang w:val="en-US" w:eastAsia="zh-TW"/>
        </w:rPr>
        <w:t>Problem statement</w:t>
      </w:r>
    </w:p>
    <w:p w14:paraId="768E8EEC" w14:textId="77777777" w:rsidR="002F0281" w:rsidRPr="002F0281" w:rsidRDefault="002F0281" w:rsidP="002F0281">
      <w:pPr>
        <w:rPr>
          <w:lang w:val="en-US" w:eastAsia="zh-TW"/>
        </w:rPr>
      </w:pPr>
      <w:r w:rsidRPr="002F0281">
        <w:rPr>
          <w:lang w:val="en-US" w:eastAsia="zh-TW"/>
        </w:rPr>
        <w:t>Different from NR design, NB-IoT is designed mainly for the stationary scenario. It might be questionable if the existing synchronization signals, i.e., NPSS and NSSS, and narrowband reference signal (NRS) can still be reused, regarding the max Doppler shift is 0.93 ppm for GEO NW and 24 ppm for LEO NW.</w:t>
      </w:r>
    </w:p>
    <w:p w14:paraId="560DEE2B" w14:textId="18EE62B2" w:rsidR="002F0281" w:rsidRPr="002F0281" w:rsidRDefault="002F0281" w:rsidP="002F0281">
      <w:pPr>
        <w:rPr>
          <w:lang w:val="en-US" w:eastAsia="zh-TW"/>
        </w:rPr>
      </w:pPr>
      <w:r w:rsidRPr="002F0281">
        <w:rPr>
          <w:lang w:val="en-US" w:eastAsia="zh-TW"/>
        </w:rPr>
        <w:t xml:space="preserve">Pre/post Doppler frequency compensation is a legacy solution where NW temps to neutralize Doppler impact on a center of a given serving cell, such that any UE on the center point of the given serving cell would experience zero DL Doppler shift. If </w:t>
      </w:r>
      <w:r>
        <w:rPr>
          <w:lang w:val="en-US" w:eastAsia="zh-TW"/>
        </w:rPr>
        <w:t xml:space="preserve">the </w:t>
      </w:r>
      <w:r w:rsidRPr="002F0281">
        <w:rPr>
          <w:lang w:val="en-US" w:eastAsia="zh-TW"/>
        </w:rPr>
        <w:t>pre/post compensation mechanism is assumed at the NW side, the max Doppler shift can be:</w:t>
      </w:r>
    </w:p>
    <w:p w14:paraId="6F76B9F7" w14:textId="77777777" w:rsidR="002F0281" w:rsidRPr="002F0281" w:rsidRDefault="002F0281" w:rsidP="002F0281">
      <w:pPr>
        <w:numPr>
          <w:ilvl w:val="0"/>
          <w:numId w:val="27"/>
        </w:numPr>
        <w:contextualSpacing/>
        <w:rPr>
          <w:lang w:val="en-US" w:eastAsia="zh-TW"/>
        </w:rPr>
      </w:pPr>
      <w:r w:rsidRPr="002F0281">
        <w:rPr>
          <w:lang w:val="en-US" w:eastAsia="zh-TW"/>
        </w:rPr>
        <w:t>0 ppm, ignored for GEO</w:t>
      </w:r>
    </w:p>
    <w:p w14:paraId="38C92A79" w14:textId="77777777" w:rsidR="002F0281" w:rsidRPr="002F0281" w:rsidRDefault="002F0281" w:rsidP="002F0281">
      <w:pPr>
        <w:numPr>
          <w:ilvl w:val="0"/>
          <w:numId w:val="27"/>
        </w:numPr>
        <w:contextualSpacing/>
        <w:rPr>
          <w:lang w:val="en-US" w:eastAsia="zh-TW"/>
        </w:rPr>
      </w:pPr>
      <w:r w:rsidRPr="002F0281">
        <w:rPr>
          <w:lang w:val="en-US" w:eastAsia="zh-TW"/>
        </w:rPr>
        <w:t xml:space="preserve">1.05 ppm, for LEO-600KM with beam diameter = 50 km (S-band) </w:t>
      </w:r>
    </w:p>
    <w:p w14:paraId="186F339C" w14:textId="77777777" w:rsidR="002F0281" w:rsidRPr="002F0281" w:rsidRDefault="002F0281" w:rsidP="002F0281">
      <w:pPr>
        <w:numPr>
          <w:ilvl w:val="0"/>
          <w:numId w:val="27"/>
        </w:numPr>
        <w:contextualSpacing/>
        <w:rPr>
          <w:lang w:val="en-US" w:eastAsia="zh-TW"/>
        </w:rPr>
      </w:pPr>
      <w:r w:rsidRPr="002F0281">
        <w:rPr>
          <w:lang w:val="en-US" w:eastAsia="zh-TW"/>
        </w:rPr>
        <w:t>1.88 ppm, for LEO-600KM with beam diameter = 90 km (S-band)</w:t>
      </w:r>
    </w:p>
    <w:p w14:paraId="7D1B9E5E" w14:textId="77777777" w:rsidR="002F0281" w:rsidRPr="002F0281" w:rsidRDefault="002F0281" w:rsidP="002F0281">
      <w:pPr>
        <w:numPr>
          <w:ilvl w:val="0"/>
          <w:numId w:val="27"/>
        </w:numPr>
        <w:rPr>
          <w:lang w:val="en-US" w:eastAsia="zh-TW"/>
        </w:rPr>
      </w:pPr>
      <w:r w:rsidRPr="002F0281">
        <w:rPr>
          <w:lang w:val="en-US" w:eastAsia="zh-TW"/>
        </w:rPr>
        <w:t>15.82 ppm, for LEO-600KM with max beam diameter = 1000 km (S-band)</w:t>
      </w:r>
    </w:p>
    <w:p w14:paraId="27976CEB" w14:textId="77777777" w:rsidR="002F0281" w:rsidRPr="002F0281" w:rsidRDefault="002F0281" w:rsidP="002F0281">
      <w:pPr>
        <w:rPr>
          <w:lang w:val="en-US" w:eastAsia="zh-TW"/>
        </w:rPr>
      </w:pPr>
      <w:r w:rsidRPr="002F0281">
        <w:rPr>
          <w:lang w:val="en-US" w:eastAsia="zh-TW"/>
        </w:rPr>
        <w:t>The frequency error to ±0.1 ppm is ±200 Hz with the carrier frequency of 2 GHz. For an NB-IoT UE searching for NB-IoT carriers on a 100 kHz channel raster, the max tolerant error for cell search could be up to 25 ppm. In other words, no channel raster enhancement would be needed if the pre/post Doppler frequency compensation is in place. An NTN NB-IoT UE may always find NPSS and NSSS within a given channel raster of 100 kHz.</w:t>
      </w:r>
    </w:p>
    <w:p w14:paraId="773A3515" w14:textId="77777777" w:rsidR="002F0281" w:rsidRPr="002F0281" w:rsidRDefault="002F0281" w:rsidP="002F0281">
      <w:pPr>
        <w:rPr>
          <w:lang w:val="en-US" w:eastAsia="zh-TW"/>
        </w:rPr>
      </w:pPr>
      <w:r w:rsidRPr="002F0281">
        <w:rPr>
          <w:lang w:val="en-US" w:eastAsia="zh-TW"/>
        </w:rPr>
        <w:t>However, to guarantee the robustness of cell ID detection, the initial frequency offset can only be up to 5 ppm, based on getting one-shot detection probability at -6 dB received baseband SNR condition with less than 1% false alarm rate. Hence, to support the max beam diameter with the 15ppm frequency shift, some enhancement might be needed.</w:t>
      </w:r>
    </w:p>
    <w:p w14:paraId="2624B4D5" w14:textId="77777777" w:rsidR="002F0281" w:rsidRPr="0000382C" w:rsidRDefault="002F0281" w:rsidP="002F0281">
      <w:pPr>
        <w:pStyle w:val="Caption"/>
        <w:spacing w:after="120"/>
        <w:jc w:val="both"/>
        <w:rPr>
          <w:b w:val="0"/>
          <w:bCs w:val="0"/>
          <w:u w:val="single"/>
        </w:rPr>
      </w:pPr>
      <w:r w:rsidRPr="0000382C">
        <w:rPr>
          <w:b w:val="0"/>
          <w:bCs w:val="0"/>
          <w:u w:val="single"/>
        </w:rPr>
        <w:t>Possible solutions</w:t>
      </w:r>
    </w:p>
    <w:p w14:paraId="4D57C77E" w14:textId="4D89F0EB" w:rsidR="00B83814" w:rsidRDefault="002F0281" w:rsidP="00B83814">
      <w:pPr>
        <w:rPr>
          <w:lang w:val="en-US" w:eastAsia="zh-TW"/>
        </w:rPr>
      </w:pPr>
      <w:r w:rsidRPr="002F0281">
        <w:rPr>
          <w:lang w:val="en-US" w:eastAsia="zh-TW"/>
        </w:rPr>
        <w:t xml:space="preserve">To reduce the Doppler impact, </w:t>
      </w:r>
      <w:r>
        <w:rPr>
          <w:lang w:val="en-US" w:eastAsia="zh-TW"/>
        </w:rPr>
        <w:t xml:space="preserve">a simple way is </w:t>
      </w:r>
      <w:r w:rsidRPr="002F0281">
        <w:rPr>
          <w:lang w:val="en-US" w:eastAsia="zh-TW"/>
        </w:rPr>
        <w:t>introducing a larger subcarrier spacing could be beneficial.</w:t>
      </w:r>
      <w:r>
        <w:rPr>
          <w:lang w:val="en-US" w:eastAsia="zh-TW"/>
        </w:rPr>
        <w:t xml:space="preserve"> However, it may make a significant spec change. Better alternatives shall be FFS.</w:t>
      </w:r>
    </w:p>
    <w:p w14:paraId="3FEC5059" w14:textId="6D37211B" w:rsidR="002F0281" w:rsidRDefault="002F0281" w:rsidP="002F0281">
      <w:pPr>
        <w:pStyle w:val="Proposal"/>
        <w:rPr>
          <w:lang w:val="en-US" w:eastAsia="zh-TW"/>
        </w:rPr>
      </w:pPr>
      <w:bookmarkStart w:id="1" w:name="_Toc61854727"/>
      <w:r>
        <w:rPr>
          <w:lang w:val="en-US" w:eastAsia="zh-TW"/>
        </w:rPr>
        <w:t>T</w:t>
      </w:r>
      <w:r w:rsidRPr="002F0281">
        <w:rPr>
          <w:lang w:val="en-US" w:eastAsia="zh-TW"/>
        </w:rPr>
        <w:t xml:space="preserve">o guarantee the robustness of </w:t>
      </w:r>
      <w:r>
        <w:rPr>
          <w:lang w:val="en-US" w:eastAsia="zh-TW"/>
        </w:rPr>
        <w:t>initial cell search</w:t>
      </w:r>
      <w:r w:rsidR="009E5A1E">
        <w:rPr>
          <w:lang w:val="en-US" w:eastAsia="zh-TW"/>
        </w:rPr>
        <w:t xml:space="preserve"> with low complexity</w:t>
      </w:r>
      <w:r>
        <w:rPr>
          <w:lang w:val="en-US" w:eastAsia="zh-TW"/>
        </w:rPr>
        <w:t>,</w:t>
      </w:r>
      <w:r w:rsidR="009E5A1E">
        <w:rPr>
          <w:lang w:val="en-US" w:eastAsia="zh-TW"/>
        </w:rPr>
        <w:t xml:space="preserve"> e.g., one-shot detection, </w:t>
      </w:r>
      <w:r>
        <w:rPr>
          <w:lang w:val="en-US" w:eastAsia="zh-TW"/>
        </w:rPr>
        <w:t>enhancement on</w:t>
      </w:r>
      <w:r w:rsidRPr="002F0281">
        <w:rPr>
          <w:lang w:val="en-US" w:eastAsia="zh-TW"/>
        </w:rPr>
        <w:t xml:space="preserve"> time and frequency synchronization</w:t>
      </w:r>
      <w:r w:rsidR="009E5A1E">
        <w:rPr>
          <w:lang w:val="en-US" w:eastAsia="zh-TW"/>
        </w:rPr>
        <w:t xml:space="preserve"> shall be considered.</w:t>
      </w:r>
      <w:bookmarkEnd w:id="1"/>
    </w:p>
    <w:p w14:paraId="76FDEC76" w14:textId="77777777" w:rsidR="009E5A1E" w:rsidRDefault="009E5A1E" w:rsidP="009E5A1E">
      <w:pPr>
        <w:pStyle w:val="Proposal"/>
        <w:numPr>
          <w:ilvl w:val="0"/>
          <w:numId w:val="0"/>
        </w:numPr>
        <w:ind w:left="1304" w:hanging="1304"/>
        <w:rPr>
          <w:lang w:val="en-US" w:eastAsia="zh-TW"/>
        </w:rPr>
      </w:pPr>
    </w:p>
    <w:p w14:paraId="5D080A1D" w14:textId="77777777" w:rsidR="009E5A1E" w:rsidRPr="009E5A1E" w:rsidRDefault="009E5A1E" w:rsidP="009E5A1E">
      <w:pPr>
        <w:pStyle w:val="Heading3"/>
        <w:rPr>
          <w:lang w:val="en-US" w:eastAsia="zh-TW"/>
        </w:rPr>
      </w:pPr>
      <w:r w:rsidRPr="009E5A1E">
        <w:rPr>
          <w:lang w:val="en-US" w:eastAsia="zh-TW"/>
        </w:rPr>
        <w:t>Random access</w:t>
      </w:r>
    </w:p>
    <w:p w14:paraId="1878F353" w14:textId="77777777" w:rsidR="009E5A1E" w:rsidRPr="0000382C" w:rsidRDefault="009E5A1E" w:rsidP="009E5A1E">
      <w:pPr>
        <w:rPr>
          <w:u w:val="single"/>
          <w:lang w:val="en-US" w:eastAsia="zh-TW"/>
        </w:rPr>
      </w:pPr>
      <w:r w:rsidRPr="0000382C">
        <w:rPr>
          <w:u w:val="single"/>
          <w:lang w:val="en-US" w:eastAsia="zh-TW"/>
        </w:rPr>
        <w:t>Problem statement</w:t>
      </w:r>
    </w:p>
    <w:p w14:paraId="731B6322" w14:textId="1D53552F" w:rsidR="009E5A1E" w:rsidRPr="009E5A1E" w:rsidRDefault="009E5A1E" w:rsidP="009E5A1E">
      <w:pPr>
        <w:rPr>
          <w:lang w:val="en-US" w:eastAsia="zh-TW"/>
        </w:rPr>
      </w:pPr>
      <w:r w:rsidRPr="009E5A1E">
        <w:rPr>
          <w:lang w:val="en-US" w:eastAsia="zh-TW"/>
        </w:rPr>
        <w:t>The NPRACH formats and preamble sequences provide the max CP length of 24576T_s=0.8ms when preamble format 2 is configured for frame structure type 1. However, this cannot cover the required RTT in NTN.</w:t>
      </w:r>
    </w:p>
    <w:p w14:paraId="7CB70117" w14:textId="77777777" w:rsidR="009E5A1E" w:rsidRPr="0000382C" w:rsidRDefault="009E5A1E" w:rsidP="009E5A1E">
      <w:pPr>
        <w:rPr>
          <w:u w:val="single"/>
          <w:lang w:val="en-US" w:eastAsia="zh-TW"/>
        </w:rPr>
      </w:pPr>
      <w:r w:rsidRPr="0000382C">
        <w:rPr>
          <w:u w:val="single"/>
          <w:lang w:val="en-US" w:eastAsia="zh-TW"/>
        </w:rPr>
        <w:t>Possible solutions</w:t>
      </w:r>
    </w:p>
    <w:p w14:paraId="196EDA3D" w14:textId="455ED4C7" w:rsidR="002F0281" w:rsidRDefault="009E5A1E" w:rsidP="009E5A1E">
      <w:pPr>
        <w:rPr>
          <w:lang w:val="en-US" w:eastAsia="zh-TW"/>
        </w:rPr>
      </w:pPr>
      <w:r w:rsidRPr="009E5A1E">
        <w:rPr>
          <w:lang w:val="en-US" w:eastAsia="zh-TW"/>
        </w:rPr>
        <w:lastRenderedPageBreak/>
        <w:t xml:space="preserve">If pre-compensation of UL timing and UL frequency offset is handled at the UE side, </w:t>
      </w:r>
      <w:r>
        <w:rPr>
          <w:lang w:val="en-US" w:eastAsia="zh-TW"/>
        </w:rPr>
        <w:t xml:space="preserve">then it might solve the problem. However, </w:t>
      </w:r>
      <w:r w:rsidRPr="009E5A1E">
        <w:rPr>
          <w:lang w:val="en-US" w:eastAsia="zh-TW"/>
        </w:rPr>
        <w:t>it</w:t>
      </w:r>
      <w:r>
        <w:rPr>
          <w:lang w:val="en-US" w:eastAsia="zh-TW"/>
        </w:rPr>
        <w:t xml:space="preserve"> is still unclear whether</w:t>
      </w:r>
      <w:r w:rsidRPr="009E5A1E">
        <w:rPr>
          <w:lang w:val="en-US" w:eastAsia="zh-TW"/>
        </w:rPr>
        <w:t xml:space="preserve"> </w:t>
      </w:r>
      <w:r>
        <w:rPr>
          <w:lang w:val="en-US" w:eastAsia="zh-TW"/>
        </w:rPr>
        <w:t>all the</w:t>
      </w:r>
      <w:r w:rsidRPr="009E5A1E">
        <w:rPr>
          <w:lang w:val="en-US" w:eastAsia="zh-TW"/>
        </w:rPr>
        <w:t xml:space="preserve"> existing NPRACH formats and preamble sequences can be reused to accommodate the NTN requirements.</w:t>
      </w:r>
    </w:p>
    <w:p w14:paraId="1D7A9B49" w14:textId="25AB02AB" w:rsidR="009E5A1E" w:rsidRDefault="009E5A1E" w:rsidP="009E5A1E">
      <w:pPr>
        <w:pStyle w:val="Proposal"/>
        <w:rPr>
          <w:lang w:val="en-US" w:eastAsia="zh-TW"/>
        </w:rPr>
      </w:pPr>
      <w:bookmarkStart w:id="2" w:name="_Toc61854728"/>
      <w:r>
        <w:rPr>
          <w:lang w:val="en-US" w:eastAsia="zh-TW"/>
        </w:rPr>
        <w:t>Evaluate the existing NPRACH formats and determines whether all of them can be reused in NTN.</w:t>
      </w:r>
      <w:bookmarkEnd w:id="2"/>
    </w:p>
    <w:p w14:paraId="2C92135E" w14:textId="77777777" w:rsidR="009E5A1E" w:rsidRPr="00B83814" w:rsidRDefault="009E5A1E" w:rsidP="009E5A1E">
      <w:pPr>
        <w:pStyle w:val="Proposal"/>
        <w:numPr>
          <w:ilvl w:val="0"/>
          <w:numId w:val="0"/>
        </w:numPr>
        <w:ind w:left="1304" w:hanging="1304"/>
        <w:rPr>
          <w:lang w:val="en-US" w:eastAsia="zh-TW"/>
        </w:rPr>
      </w:pPr>
    </w:p>
    <w:p w14:paraId="08C20A03" w14:textId="32E9B65C" w:rsidR="00B83814" w:rsidRPr="00B83814" w:rsidRDefault="00B83814" w:rsidP="00B83814">
      <w:pPr>
        <w:pStyle w:val="Heading2"/>
        <w:rPr>
          <w:lang w:val="en-US" w:eastAsia="zh-TW"/>
        </w:rPr>
      </w:pPr>
      <w:r>
        <w:rPr>
          <w:lang w:val="en-US" w:eastAsia="zh-TW"/>
        </w:rPr>
        <w:t>T</w:t>
      </w:r>
      <w:r w:rsidRPr="00B83814">
        <w:rPr>
          <w:lang w:val="en-US" w:eastAsia="zh-TW"/>
        </w:rPr>
        <w:t>ime and frequency adjustment</w:t>
      </w:r>
    </w:p>
    <w:p w14:paraId="3C700C2D" w14:textId="04682E91" w:rsidR="0000382C" w:rsidRPr="0000382C" w:rsidRDefault="0000382C" w:rsidP="0000382C">
      <w:pPr>
        <w:pStyle w:val="Heading3"/>
        <w:rPr>
          <w:lang w:eastAsia="zh-TW"/>
        </w:rPr>
      </w:pPr>
      <w:r w:rsidRPr="0000382C">
        <w:rPr>
          <w:lang w:val="en-US" w:eastAsia="zh-TW"/>
        </w:rPr>
        <w:t xml:space="preserve">Maintenance for UL timing advance </w:t>
      </w:r>
    </w:p>
    <w:p w14:paraId="318FE5CD" w14:textId="77777777" w:rsidR="0000382C" w:rsidRPr="0000382C" w:rsidRDefault="0000382C" w:rsidP="0000382C">
      <w:pPr>
        <w:rPr>
          <w:u w:val="single"/>
          <w:lang w:val="en-US" w:eastAsia="zh-TW"/>
        </w:rPr>
      </w:pPr>
      <w:r w:rsidRPr="0000382C">
        <w:rPr>
          <w:u w:val="single"/>
          <w:lang w:val="en-US" w:eastAsia="zh-TW"/>
        </w:rPr>
        <w:t>Problem statement</w:t>
      </w:r>
    </w:p>
    <w:p w14:paraId="786FBFF0" w14:textId="0ED1F68F" w:rsidR="0000382C" w:rsidRPr="0000382C" w:rsidRDefault="0000382C" w:rsidP="0000382C">
      <w:pPr>
        <w:spacing w:after="240"/>
        <w:rPr>
          <w:lang w:val="en-US" w:eastAsia="zh-TW"/>
        </w:rPr>
      </w:pPr>
      <w:r w:rsidRPr="0000382C">
        <w:rPr>
          <w:lang w:val="en-US" w:eastAsia="zh-TW"/>
        </w:rPr>
        <w:t xml:space="preserve">For the timing advance (TA) in the initial access and the subsequent TA maintenance, the following solutions are identified with an illustration of the definition of the terminology given in </w:t>
      </w:r>
      <w:r w:rsidRPr="0000382C">
        <w:rPr>
          <w:lang w:val="en-US" w:eastAsia="zh-TW"/>
        </w:rPr>
        <w:fldChar w:fldCharType="begin"/>
      </w:r>
      <w:r w:rsidRPr="0000382C">
        <w:rPr>
          <w:lang w:val="en-US" w:eastAsia="zh-TW"/>
        </w:rPr>
        <w:instrText xml:space="preserve"> REF _Ref59624226 \h </w:instrText>
      </w:r>
      <w:r w:rsidRPr="0000382C">
        <w:rPr>
          <w:lang w:val="en-US" w:eastAsia="zh-TW"/>
        </w:rPr>
      </w:r>
      <w:r w:rsidRPr="0000382C">
        <w:rPr>
          <w:lang w:val="en-US" w:eastAsia="zh-TW"/>
        </w:rPr>
        <w:fldChar w:fldCharType="separate"/>
      </w:r>
      <w:r w:rsidRPr="0000382C">
        <w:rPr>
          <w:b/>
          <w:bCs/>
          <w:lang w:val="en-US" w:eastAsia="zh-TW"/>
        </w:rPr>
        <w:t xml:space="preserve">Figure </w:t>
      </w:r>
      <w:r>
        <w:rPr>
          <w:b/>
          <w:bCs/>
          <w:noProof/>
          <w:lang w:val="en-US" w:eastAsia="zh-TW"/>
        </w:rPr>
        <w:t>1</w:t>
      </w:r>
      <w:r w:rsidRPr="0000382C">
        <w:rPr>
          <w:lang w:eastAsia="zh-TW"/>
        </w:rPr>
        <w:fldChar w:fldCharType="end"/>
      </w:r>
      <w:r w:rsidRPr="0000382C">
        <w:rPr>
          <w:lang w:val="en-US" w:eastAsia="zh-TW"/>
        </w:rPr>
        <w:t xml:space="preserve">. </w:t>
      </w:r>
    </w:p>
    <w:p w14:paraId="72234B8D" w14:textId="77777777" w:rsidR="0000382C" w:rsidRPr="0000382C" w:rsidRDefault="0000382C" w:rsidP="0000382C">
      <w:pPr>
        <w:rPr>
          <w:lang w:val="en-US" w:eastAsia="zh-TW"/>
        </w:rPr>
      </w:pPr>
      <w:r w:rsidRPr="0000382C">
        <w:rPr>
          <w:noProof/>
          <w:lang w:val="en-US" w:eastAsia="zh-TW"/>
        </w:rPr>
        <w:drawing>
          <wp:inline distT="0" distB="0" distL="0" distR="0" wp14:anchorId="252B5FC2" wp14:editId="0C0551A6">
            <wp:extent cx="5943600" cy="1664335"/>
            <wp:effectExtent l="0" t="0" r="0" b="0"/>
            <wp:docPr id="47" name="Picture 4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1664335"/>
                    </a:xfrm>
                    <a:prstGeom prst="rect">
                      <a:avLst/>
                    </a:prstGeom>
                  </pic:spPr>
                </pic:pic>
              </a:graphicData>
            </a:graphic>
          </wp:inline>
        </w:drawing>
      </w:r>
    </w:p>
    <w:p w14:paraId="4F1659AE" w14:textId="0E0733AF" w:rsidR="0000382C" w:rsidRPr="0000382C" w:rsidRDefault="0000382C" w:rsidP="0000382C">
      <w:pPr>
        <w:spacing w:after="240"/>
        <w:jc w:val="center"/>
        <w:rPr>
          <w:b/>
          <w:bCs/>
          <w:lang w:val="en-US" w:eastAsia="zh-TW"/>
        </w:rPr>
      </w:pPr>
      <w:bookmarkStart w:id="3" w:name="_Ref59624226"/>
      <w:r w:rsidRPr="0000382C">
        <w:rPr>
          <w:b/>
          <w:bCs/>
          <w:lang w:val="en-US" w:eastAsia="zh-TW"/>
        </w:rPr>
        <w:t xml:space="preserve">Figure </w:t>
      </w:r>
      <w:r w:rsidRPr="0000382C">
        <w:rPr>
          <w:b/>
          <w:bCs/>
          <w:lang w:val="en-US" w:eastAsia="zh-TW"/>
        </w:rPr>
        <w:fldChar w:fldCharType="begin"/>
      </w:r>
      <w:r w:rsidRPr="0000382C">
        <w:rPr>
          <w:b/>
          <w:bCs/>
          <w:lang w:val="en-US" w:eastAsia="zh-TW"/>
        </w:rPr>
        <w:instrText xml:space="preserve"> SEQ Figure \* ARABIC </w:instrText>
      </w:r>
      <w:r w:rsidRPr="0000382C">
        <w:rPr>
          <w:b/>
          <w:bCs/>
          <w:lang w:val="en-US" w:eastAsia="zh-TW"/>
        </w:rPr>
        <w:fldChar w:fldCharType="separate"/>
      </w:r>
      <w:r>
        <w:rPr>
          <w:b/>
          <w:bCs/>
          <w:noProof/>
          <w:lang w:val="en-US" w:eastAsia="zh-TW"/>
        </w:rPr>
        <w:t>1</w:t>
      </w:r>
      <w:r w:rsidRPr="0000382C">
        <w:rPr>
          <w:lang w:eastAsia="zh-TW"/>
        </w:rPr>
        <w:fldChar w:fldCharType="end"/>
      </w:r>
      <w:bookmarkEnd w:id="3"/>
      <w:r w:rsidRPr="0000382C">
        <w:rPr>
          <w:b/>
          <w:bCs/>
          <w:lang w:val="en-US" w:eastAsia="zh-TW"/>
        </w:rPr>
        <w:t>: illustration of TA components in NTN NB-IoT</w:t>
      </w:r>
    </w:p>
    <w:p w14:paraId="277B52FC" w14:textId="00FBE367" w:rsidR="0000382C" w:rsidRPr="0000382C" w:rsidRDefault="0000382C" w:rsidP="0000382C">
      <w:pPr>
        <w:rPr>
          <w:lang w:val="en-US" w:eastAsia="zh-TW"/>
        </w:rPr>
      </w:pPr>
      <w:r w:rsidRPr="0000382C">
        <w:rPr>
          <w:lang w:val="en-US" w:eastAsia="zh-TW"/>
        </w:rPr>
        <w:t xml:space="preserve">The Full TA refers to RTT between </w:t>
      </w:r>
      <w:proofErr w:type="spellStart"/>
      <w:r w:rsidRPr="0000382C">
        <w:rPr>
          <w:lang w:val="en-US" w:eastAsia="zh-TW"/>
        </w:rPr>
        <w:t>eNB</w:t>
      </w:r>
      <w:proofErr w:type="spellEnd"/>
      <w:r w:rsidRPr="0000382C">
        <w:rPr>
          <w:lang w:val="en-US" w:eastAsia="zh-TW"/>
        </w:rPr>
        <w:t xml:space="preserve"> to UE as </w:t>
      </w:r>
      <m:oMath>
        <m:r>
          <w:rPr>
            <w:rFonts w:ascii="Cambria Math" w:hAnsi="Cambria Math"/>
            <w:lang w:val="en-US" w:eastAsia="zh-TW"/>
          </w:rPr>
          <m:t>2×(</m:t>
        </m:r>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f</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s</m:t>
            </m:r>
          </m:sub>
        </m:sSub>
        <m:r>
          <w:rPr>
            <w:rFonts w:ascii="Cambria Math" w:hAnsi="Cambria Math"/>
            <w:lang w:val="en-US" w:eastAsia="zh-TW"/>
          </w:rPr>
          <m:t>)/c</m:t>
        </m:r>
      </m:oMath>
      <w:r w:rsidRPr="0000382C">
        <w:rPr>
          <w:lang w:val="en-US" w:eastAsia="zh-TW"/>
        </w:rPr>
        <w:t xml:space="preserve"> consisting of common TA and UE specific TA:</w:t>
      </w:r>
    </w:p>
    <w:p w14:paraId="412B612B" w14:textId="77777777" w:rsidR="0000382C" w:rsidRPr="0000382C" w:rsidRDefault="0000382C" w:rsidP="0000382C">
      <w:pPr>
        <w:numPr>
          <w:ilvl w:val="0"/>
          <w:numId w:val="27"/>
        </w:numPr>
        <w:contextualSpacing/>
        <w:rPr>
          <w:lang w:val="en-US" w:eastAsia="zh-TW"/>
        </w:rPr>
      </w:pPr>
      <w:r w:rsidRPr="0000382C">
        <w:rPr>
          <w:lang w:val="en-US" w:eastAsia="zh-TW"/>
        </w:rPr>
        <w:t xml:space="preserve">Full TA = common TA + UE specific TA, referring to the RTT between </w:t>
      </w:r>
      <w:proofErr w:type="spellStart"/>
      <w:r w:rsidRPr="0000382C">
        <w:rPr>
          <w:lang w:val="en-US" w:eastAsia="zh-TW"/>
        </w:rPr>
        <w:t>eNB</w:t>
      </w:r>
      <w:proofErr w:type="spellEnd"/>
      <w:r w:rsidRPr="0000382C">
        <w:rPr>
          <w:lang w:val="en-US" w:eastAsia="zh-TW"/>
        </w:rPr>
        <w:t xml:space="preserve"> and UE</w:t>
      </w:r>
    </w:p>
    <w:p w14:paraId="383B7D5F" w14:textId="123C306D" w:rsidR="0000382C" w:rsidRPr="0000382C" w:rsidRDefault="0000382C" w:rsidP="0000382C">
      <w:pPr>
        <w:numPr>
          <w:ilvl w:val="0"/>
          <w:numId w:val="27"/>
        </w:numPr>
        <w:contextualSpacing/>
        <w:rPr>
          <w:lang w:val="en-US" w:eastAsia="zh-TW"/>
        </w:rPr>
      </w:pPr>
      <w:r w:rsidRPr="0000382C">
        <w:rPr>
          <w:lang w:val="en-US" w:eastAsia="zh-TW"/>
        </w:rPr>
        <w:t xml:space="preserve">Common TA = </w:t>
      </w:r>
      <m:oMath>
        <m:r>
          <w:rPr>
            <w:rFonts w:ascii="Cambria Math" w:hAnsi="Cambria Math"/>
            <w:lang w:val="en-US" w:eastAsia="zh-TW"/>
          </w:rPr>
          <m:t>2×(</m:t>
        </m:r>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f</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r</m:t>
            </m:r>
          </m:sub>
        </m:sSub>
        <m:r>
          <w:rPr>
            <w:rFonts w:ascii="Cambria Math" w:hAnsi="Cambria Math"/>
            <w:lang w:val="en-US" w:eastAsia="zh-TW"/>
          </w:rPr>
          <m:t>)/c</m:t>
        </m:r>
      </m:oMath>
      <w:r w:rsidRPr="0000382C">
        <w:rPr>
          <w:lang w:val="en-US" w:eastAsia="zh-TW"/>
        </w:rPr>
        <w:t xml:space="preserve">, referring to the RTT between </w:t>
      </w:r>
      <w:proofErr w:type="spellStart"/>
      <w:r w:rsidRPr="0000382C">
        <w:rPr>
          <w:lang w:val="en-US" w:eastAsia="zh-TW"/>
        </w:rPr>
        <w:t>eNB</w:t>
      </w:r>
      <w:proofErr w:type="spellEnd"/>
      <w:r w:rsidRPr="0000382C">
        <w:rPr>
          <w:lang w:val="en-US" w:eastAsia="zh-TW"/>
        </w:rPr>
        <w:t xml:space="preserve"> to a reference point (RP) </w:t>
      </w:r>
    </w:p>
    <w:p w14:paraId="5D457BAE" w14:textId="7F21CB0A" w:rsidR="0000382C" w:rsidRPr="0000382C" w:rsidRDefault="0000382C" w:rsidP="0000382C">
      <w:pPr>
        <w:numPr>
          <w:ilvl w:val="0"/>
          <w:numId w:val="27"/>
        </w:numPr>
        <w:rPr>
          <w:lang w:val="en-US" w:eastAsia="zh-TW"/>
        </w:rPr>
      </w:pPr>
      <w:r w:rsidRPr="0000382C">
        <w:rPr>
          <w:lang w:val="en-US" w:eastAsia="zh-TW"/>
        </w:rPr>
        <w:t xml:space="preserve">UE specific TA = </w:t>
      </w:r>
      <m:oMath>
        <m:r>
          <w:rPr>
            <w:rFonts w:ascii="Cambria Math" w:hAnsi="Cambria Math"/>
            <w:lang w:val="en-US" w:eastAsia="zh-TW"/>
          </w:rPr>
          <m:t>2×</m:t>
        </m:r>
        <m:d>
          <m:dPr>
            <m:ctrlPr>
              <w:rPr>
                <w:rFonts w:ascii="Cambria Math" w:hAnsi="Cambria Math"/>
                <w:i/>
                <w:lang w:val="en-US" w:eastAsia="zh-TW"/>
              </w:rPr>
            </m:ctrlPr>
          </m:dPr>
          <m:e>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s</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r</m:t>
                </m:r>
              </m:sub>
            </m:sSub>
          </m:e>
        </m:d>
        <m:r>
          <w:rPr>
            <w:rFonts w:ascii="Cambria Math" w:hAnsi="Cambria Math"/>
            <w:lang w:val="en-US" w:eastAsia="zh-TW"/>
          </w:rPr>
          <m:t>/c</m:t>
        </m:r>
      </m:oMath>
      <w:r w:rsidRPr="0000382C">
        <w:rPr>
          <w:lang w:val="en-US" w:eastAsia="zh-TW"/>
        </w:rPr>
        <w:t xml:space="preserve">, referring to the difference between common TA and full TA </w:t>
      </w:r>
    </w:p>
    <w:p w14:paraId="4DA697B4" w14:textId="60F7BDDE" w:rsidR="0000382C" w:rsidRDefault="0000382C" w:rsidP="0000382C">
      <w:pPr>
        <w:rPr>
          <w:lang w:val="en-US" w:eastAsia="zh-TW"/>
        </w:rPr>
      </w:pPr>
      <w:r w:rsidRPr="0000382C">
        <w:rPr>
          <w:lang w:val="en-US" w:eastAsia="zh-TW"/>
        </w:rPr>
        <w:t xml:space="preserve">Here </w:t>
      </w:r>
      <m:oMath>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f</m:t>
            </m:r>
          </m:sub>
        </m:sSub>
      </m:oMath>
      <w:r w:rsidRPr="0000382C">
        <w:rPr>
          <w:lang w:val="en-US" w:eastAsia="zh-TW"/>
        </w:rPr>
        <w:t xml:space="preserve"> is the distance between eNB to a satellite (SAT), </w:t>
      </w:r>
      <m:oMath>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r</m:t>
            </m:r>
          </m:sub>
        </m:sSub>
      </m:oMath>
      <w:r w:rsidRPr="0000382C">
        <w:rPr>
          <w:lang w:val="en-US" w:eastAsia="zh-TW"/>
        </w:rPr>
        <w:t xml:space="preserve"> is the distance between satellite to RP, and </w:t>
      </w:r>
      <m:oMath>
        <m:r>
          <w:rPr>
            <w:rFonts w:ascii="Cambria Math" w:hAnsi="Cambria Math"/>
            <w:lang w:val="en-US" w:eastAsia="zh-TW"/>
          </w:rPr>
          <m:t>c</m:t>
        </m:r>
      </m:oMath>
      <w:r w:rsidRPr="0000382C">
        <w:rPr>
          <w:lang w:val="en-US" w:eastAsia="zh-TW"/>
        </w:rPr>
        <w:t xml:space="preserve"> denotes the speed of light in space. Note that the RP can be on the ground for handhelds, in the air for flights, at the SAT, at the </w:t>
      </w:r>
      <w:proofErr w:type="spellStart"/>
      <w:r w:rsidRPr="0000382C">
        <w:rPr>
          <w:lang w:val="en-US" w:eastAsia="zh-TW"/>
        </w:rPr>
        <w:t>eNB</w:t>
      </w:r>
      <w:proofErr w:type="spellEnd"/>
      <w:r w:rsidRPr="0000382C">
        <w:rPr>
          <w:lang w:val="en-US" w:eastAsia="zh-TW"/>
        </w:rPr>
        <w:t xml:space="preserve">, at a point on the service link, or at a point on the feeder link for hiding the location of the serving </w:t>
      </w:r>
      <w:proofErr w:type="spellStart"/>
      <w:r w:rsidRPr="0000382C">
        <w:rPr>
          <w:lang w:val="en-US" w:eastAsia="zh-TW"/>
        </w:rPr>
        <w:t>eNB</w:t>
      </w:r>
      <w:proofErr w:type="spellEnd"/>
      <w:r w:rsidRPr="0000382C">
        <w:rPr>
          <w:lang w:val="en-US" w:eastAsia="zh-TW"/>
        </w:rPr>
        <w:t>.</w:t>
      </w:r>
    </w:p>
    <w:p w14:paraId="1B3BE742" w14:textId="3684818B" w:rsidR="0000382C" w:rsidRPr="0000382C" w:rsidRDefault="0000382C" w:rsidP="0000382C">
      <w:pPr>
        <w:pStyle w:val="Observation"/>
        <w:rPr>
          <w:lang w:val="en-US" w:eastAsia="zh-TW"/>
        </w:rPr>
      </w:pPr>
      <w:bookmarkStart w:id="4" w:name="_Toc61854726"/>
      <w:r>
        <w:rPr>
          <w:lang w:val="en-US" w:eastAsia="zh-TW"/>
        </w:rPr>
        <w:t xml:space="preserve">A reference point for calculating UL transmission timing can be set on the ground, in the air, at the satellite, at the </w:t>
      </w:r>
      <w:proofErr w:type="spellStart"/>
      <w:r>
        <w:rPr>
          <w:lang w:val="en-US" w:eastAsia="zh-TW"/>
        </w:rPr>
        <w:t>eNB</w:t>
      </w:r>
      <w:proofErr w:type="spellEnd"/>
      <w:r>
        <w:rPr>
          <w:lang w:val="en-US" w:eastAsia="zh-TW"/>
        </w:rPr>
        <w:t>, or a certain point on the service link or a feeder link.</w:t>
      </w:r>
      <w:bookmarkEnd w:id="4"/>
    </w:p>
    <w:p w14:paraId="0B16B7E6" w14:textId="509A7A77" w:rsidR="0000382C" w:rsidRPr="0000382C" w:rsidRDefault="0000382C" w:rsidP="0000382C">
      <w:pPr>
        <w:rPr>
          <w:lang w:val="en-US" w:eastAsia="zh-TW"/>
        </w:rPr>
      </w:pPr>
      <w:r w:rsidRPr="0000382C">
        <w:rPr>
          <w:lang w:val="en-US" w:eastAsia="zh-TW"/>
        </w:rPr>
        <w:t xml:space="preserve">For idle mode UEs, TA is </w:t>
      </w:r>
      <w:r>
        <w:rPr>
          <w:lang w:val="en-US" w:eastAsia="zh-TW"/>
        </w:rPr>
        <w:t>got</w:t>
      </w:r>
      <w:r w:rsidRPr="0000382C">
        <w:rPr>
          <w:lang w:val="en-US" w:eastAsia="zh-TW"/>
        </w:rPr>
        <w:t xml:space="preserve"> autonomously at UE with UE known location and satellite ephemeris. The required TA value for UL transmission including PRACH can be calculated by the UE, either with UE-specific TA or full TA.</w:t>
      </w:r>
    </w:p>
    <w:p w14:paraId="0199AE6D" w14:textId="77777777" w:rsidR="0000382C" w:rsidRPr="0000382C" w:rsidRDefault="0000382C" w:rsidP="0000382C">
      <w:pPr>
        <w:numPr>
          <w:ilvl w:val="0"/>
          <w:numId w:val="27"/>
        </w:numPr>
        <w:rPr>
          <w:lang w:val="en-US" w:eastAsia="zh-TW"/>
        </w:rPr>
      </w:pPr>
      <w:r w:rsidRPr="0000382C">
        <w:rPr>
          <w:lang w:val="en-US" w:eastAsia="zh-TW"/>
        </w:rPr>
        <w:t xml:space="preserve">For the full TA compensation at the UE side, both the alignment on the UL timing among UEs and DL and UL frame timing at the network side can be achieved. However, in the case of a satellite with a transparent payload, RTT of feeder link might be provided explicitly the RTT value, e.g., SIB1, or impolitely provided the </w:t>
      </w:r>
      <w:proofErr w:type="spellStart"/>
      <w:r w:rsidRPr="0000382C">
        <w:rPr>
          <w:lang w:val="en-US" w:eastAsia="zh-TW"/>
        </w:rPr>
        <w:t>eNB</w:t>
      </w:r>
      <w:proofErr w:type="spellEnd"/>
      <w:r w:rsidRPr="0000382C">
        <w:rPr>
          <w:lang w:val="en-US" w:eastAsia="zh-TW"/>
        </w:rPr>
        <w:t xml:space="preserve"> location via system information.</w:t>
      </w:r>
    </w:p>
    <w:p w14:paraId="7FC54417" w14:textId="77777777" w:rsidR="0000382C" w:rsidRPr="0000382C" w:rsidRDefault="0000382C" w:rsidP="0000382C">
      <w:pPr>
        <w:numPr>
          <w:ilvl w:val="0"/>
          <w:numId w:val="27"/>
        </w:numPr>
        <w:rPr>
          <w:lang w:val="en-US" w:eastAsia="zh-TW"/>
        </w:rPr>
      </w:pPr>
      <w:r w:rsidRPr="0000382C">
        <w:rPr>
          <w:lang w:val="en-US" w:eastAsia="zh-TW"/>
        </w:rPr>
        <w:t>For the UE specific differential TA, additional indication on a single reference point should be signaled to UEs per beam/cell for achieving the UL timing alignment among UEs within the coverage of the same beam/cell.</w:t>
      </w:r>
    </w:p>
    <w:p w14:paraId="4DD224E9" w14:textId="77777777" w:rsidR="0000382C" w:rsidRPr="0000382C" w:rsidRDefault="0000382C" w:rsidP="0000382C">
      <w:pPr>
        <w:rPr>
          <w:lang w:val="en-US" w:eastAsia="zh-TW"/>
        </w:rPr>
      </w:pPr>
      <w:r w:rsidRPr="0000382C">
        <w:rPr>
          <w:lang w:val="en-US" w:eastAsia="zh-TW"/>
        </w:rPr>
        <w:t xml:space="preserve">For connected mode UEs, timing advanced adjustment might be based on network indication. For satisfying the larger coverage of NTN, an extension of the value range for TA indication in RAR, in 6-bit timing advance command </w:t>
      </w:r>
      <w:r w:rsidRPr="0000382C">
        <w:rPr>
          <w:lang w:val="en-US" w:eastAsia="zh-TW"/>
        </w:rPr>
        <w:lastRenderedPageBreak/>
        <w:t>MAC CE or the Timing advance adjustment field in DCI format N0 might be needed. Also, an indication of the timing drift rate, from the network to UE, might be supported to enable the TA adjustment at the UE side.</w:t>
      </w:r>
    </w:p>
    <w:p w14:paraId="11DEDC15" w14:textId="338DBA93" w:rsidR="0000382C" w:rsidRPr="0000382C" w:rsidRDefault="0000382C" w:rsidP="0000382C">
      <w:pPr>
        <w:rPr>
          <w:lang w:val="en-US" w:eastAsia="zh-TW"/>
        </w:rPr>
      </w:pPr>
      <w:r w:rsidRPr="0000382C">
        <w:rPr>
          <w:lang w:val="en-US" w:eastAsia="zh-TW"/>
        </w:rPr>
        <w:t xml:space="preserve">However, </w:t>
      </w:r>
      <w:r>
        <w:rPr>
          <w:lang w:val="en-US" w:eastAsia="zh-TW"/>
        </w:rPr>
        <w:t xml:space="preserve">considering the reference point might have a different interpretation, </w:t>
      </w:r>
      <w:r w:rsidRPr="0000382C">
        <w:rPr>
          <w:lang w:val="en-US" w:eastAsia="zh-TW"/>
        </w:rPr>
        <w:t>implementation detail on the required features is unclear, especially regarding coexistence with NB-IoT.</w:t>
      </w:r>
    </w:p>
    <w:p w14:paraId="2DADD883" w14:textId="77777777" w:rsidR="0000382C" w:rsidRPr="0000382C" w:rsidRDefault="0000382C" w:rsidP="0000382C">
      <w:pPr>
        <w:rPr>
          <w:u w:val="single"/>
          <w:lang w:val="en-US" w:eastAsia="zh-TW"/>
        </w:rPr>
      </w:pPr>
      <w:r w:rsidRPr="0000382C">
        <w:rPr>
          <w:u w:val="single"/>
          <w:lang w:val="en-US" w:eastAsia="zh-TW"/>
        </w:rPr>
        <w:t>Possible solutions</w:t>
      </w:r>
    </w:p>
    <w:p w14:paraId="0157ECFD" w14:textId="7C11D899" w:rsidR="0000382C" w:rsidRDefault="0000382C" w:rsidP="0000382C">
      <w:pPr>
        <w:rPr>
          <w:lang w:val="en-US" w:eastAsia="zh-TW"/>
        </w:rPr>
      </w:pPr>
      <w:r>
        <w:rPr>
          <w:lang w:val="en-US" w:eastAsia="zh-TW"/>
        </w:rPr>
        <w:t xml:space="preserve">To address minimum specifications to NB-IoT for NTN, a simple way is to determine the reference point at the </w:t>
      </w:r>
      <w:proofErr w:type="spellStart"/>
      <w:r>
        <w:rPr>
          <w:lang w:val="en-US" w:eastAsia="zh-TW"/>
        </w:rPr>
        <w:t>eNB</w:t>
      </w:r>
      <w:proofErr w:type="spellEnd"/>
      <w:r>
        <w:rPr>
          <w:lang w:val="en-US" w:eastAsia="zh-TW"/>
        </w:rPr>
        <w:t>.</w:t>
      </w:r>
    </w:p>
    <w:p w14:paraId="53AF69E8" w14:textId="0F5FD9B1" w:rsidR="0000382C" w:rsidRPr="0000382C" w:rsidRDefault="0000382C" w:rsidP="0000382C">
      <w:pPr>
        <w:pStyle w:val="Proposal"/>
        <w:rPr>
          <w:lang w:val="en-US" w:eastAsia="zh-TW"/>
        </w:rPr>
      </w:pPr>
      <w:bookmarkStart w:id="5" w:name="_Toc61854729"/>
      <w:r>
        <w:rPr>
          <w:lang w:val="en-US" w:eastAsia="zh-TW"/>
        </w:rPr>
        <w:t xml:space="preserve">A reference point for UL transmission timing shall be set at the </w:t>
      </w:r>
      <w:proofErr w:type="spellStart"/>
      <w:r>
        <w:rPr>
          <w:lang w:val="en-US" w:eastAsia="zh-TW"/>
        </w:rPr>
        <w:t>eNB</w:t>
      </w:r>
      <w:proofErr w:type="spellEnd"/>
      <w:r>
        <w:rPr>
          <w:lang w:val="en-US" w:eastAsia="zh-TW"/>
        </w:rPr>
        <w:t>, if needed.</w:t>
      </w:r>
      <w:bookmarkEnd w:id="5"/>
    </w:p>
    <w:p w14:paraId="5C64C918" w14:textId="6B2F136B" w:rsidR="0000382C" w:rsidRDefault="0000382C" w:rsidP="0000382C">
      <w:pPr>
        <w:rPr>
          <w:lang w:eastAsia="zh-TW"/>
        </w:rPr>
      </w:pPr>
    </w:p>
    <w:p w14:paraId="01A26A24" w14:textId="77777777" w:rsidR="0000382C" w:rsidRPr="0000382C" w:rsidRDefault="0000382C" w:rsidP="0000382C">
      <w:pPr>
        <w:pStyle w:val="Heading3"/>
        <w:rPr>
          <w:lang w:val="en-US" w:eastAsia="zh-TW"/>
        </w:rPr>
      </w:pPr>
      <w:r w:rsidRPr="0000382C">
        <w:rPr>
          <w:lang w:val="en-US" w:eastAsia="zh-TW"/>
        </w:rPr>
        <w:t>Maintenance for UL frequency synchronization</w:t>
      </w:r>
    </w:p>
    <w:p w14:paraId="4ECE8D71" w14:textId="77777777" w:rsidR="0000382C" w:rsidRPr="0000382C" w:rsidRDefault="0000382C" w:rsidP="0000382C">
      <w:pPr>
        <w:rPr>
          <w:u w:val="single"/>
          <w:lang w:val="en-US" w:eastAsia="zh-TW"/>
        </w:rPr>
      </w:pPr>
      <w:r w:rsidRPr="0000382C">
        <w:rPr>
          <w:u w:val="single"/>
          <w:lang w:val="en-US" w:eastAsia="zh-TW"/>
        </w:rPr>
        <w:t>Problem statement</w:t>
      </w:r>
    </w:p>
    <w:p w14:paraId="651501E4" w14:textId="43D09429" w:rsidR="0000382C" w:rsidRPr="0000382C" w:rsidRDefault="0000382C" w:rsidP="0000382C">
      <w:pPr>
        <w:rPr>
          <w:lang w:val="en-US" w:eastAsia="zh-TW"/>
        </w:rPr>
      </w:pPr>
      <w:r w:rsidRPr="0000382C">
        <w:rPr>
          <w:lang w:val="en-US" w:eastAsia="zh-TW"/>
        </w:rPr>
        <w:t>For the UL frequency compensation, at least for the LEO, the following solutions are identified with consideration of the beam specific post-compensation of common frequency offset at the network side:</w:t>
      </w:r>
    </w:p>
    <w:p w14:paraId="71F664F6" w14:textId="77777777" w:rsidR="0000382C" w:rsidRPr="0000382C" w:rsidRDefault="0000382C" w:rsidP="0000382C">
      <w:pPr>
        <w:numPr>
          <w:ilvl w:val="0"/>
          <w:numId w:val="27"/>
        </w:numPr>
        <w:rPr>
          <w:lang w:val="en-US" w:eastAsia="zh-TW"/>
        </w:rPr>
      </w:pPr>
      <w:r w:rsidRPr="0000382C">
        <w:rPr>
          <w:rFonts w:hint="eastAsia"/>
          <w:lang w:val="en-US" w:eastAsia="zh-TW"/>
        </w:rPr>
        <w:t>Option-1: Both the estimation and pre-compensation of UE-specific frequency offset are conducted at the UE</w:t>
      </w:r>
      <w:r w:rsidRPr="0000382C">
        <w:rPr>
          <w:lang w:val="en-US" w:eastAsia="zh-TW"/>
        </w:rPr>
        <w:t xml:space="preserve"> side. The acquisition of this value can be done by utilizing DL reference signals, UE location, and satellite ephemeris.</w:t>
      </w:r>
    </w:p>
    <w:p w14:paraId="148C291B" w14:textId="77777777" w:rsidR="0000382C" w:rsidRPr="0000382C" w:rsidRDefault="0000382C" w:rsidP="0000382C">
      <w:pPr>
        <w:numPr>
          <w:ilvl w:val="0"/>
          <w:numId w:val="27"/>
        </w:numPr>
        <w:rPr>
          <w:lang w:val="en-US" w:eastAsia="zh-TW"/>
        </w:rPr>
      </w:pPr>
      <w:r w:rsidRPr="0000382C">
        <w:rPr>
          <w:rFonts w:hint="eastAsia"/>
          <w:lang w:val="en-US" w:eastAsia="zh-TW"/>
        </w:rPr>
        <w:t>Option-2: The required frequency offset for UL frequency compensation at least in LEO systems is indicated by</w:t>
      </w:r>
      <w:r w:rsidRPr="0000382C">
        <w:rPr>
          <w:lang w:val="en-US" w:eastAsia="zh-TW"/>
        </w:rPr>
        <w:t xml:space="preserve"> the network to UE. Indication of compensated frequency offset values by the network is also supported in case that compensation of the frequency offset is conducted by the network in the uplink and/or the downlink, respectively. </w:t>
      </w:r>
    </w:p>
    <w:p w14:paraId="6011AE79" w14:textId="7D12A70C" w:rsidR="0000382C" w:rsidRPr="0000382C" w:rsidRDefault="0000382C" w:rsidP="0000382C">
      <w:pPr>
        <w:rPr>
          <w:lang w:val="en-US" w:eastAsia="zh-TW"/>
        </w:rPr>
      </w:pPr>
      <w:r w:rsidRPr="0000382C">
        <w:rPr>
          <w:lang w:val="en-US" w:eastAsia="zh-TW"/>
        </w:rPr>
        <w:t>However, the detailed signaling design for the above enhancements is unclear.</w:t>
      </w:r>
      <w:r>
        <w:rPr>
          <w:lang w:val="en-US" w:eastAsia="zh-TW"/>
        </w:rPr>
        <w:t xml:space="preserve"> Especially, f</w:t>
      </w:r>
      <w:r w:rsidRPr="0000382C">
        <w:rPr>
          <w:lang w:val="en-US" w:eastAsia="zh-TW"/>
        </w:rPr>
        <w:t xml:space="preserve">or satellite ephemeris, since NB-IoT UEs may not monitor system information, any update of satellite ephemeris needs to be signaled via </w:t>
      </w:r>
      <w:r>
        <w:rPr>
          <w:lang w:val="en-US" w:eastAsia="zh-TW"/>
        </w:rPr>
        <w:t>other means</w:t>
      </w:r>
      <w:r w:rsidRPr="0000382C">
        <w:rPr>
          <w:lang w:val="en-US" w:eastAsia="zh-TW"/>
        </w:rPr>
        <w:t>.</w:t>
      </w:r>
    </w:p>
    <w:p w14:paraId="215F449B" w14:textId="77777777" w:rsidR="0000382C" w:rsidRPr="0000382C" w:rsidRDefault="0000382C" w:rsidP="0000382C">
      <w:pPr>
        <w:rPr>
          <w:u w:val="single"/>
          <w:lang w:val="en-US" w:eastAsia="zh-TW"/>
        </w:rPr>
      </w:pPr>
      <w:r w:rsidRPr="0000382C">
        <w:rPr>
          <w:u w:val="single"/>
          <w:lang w:val="en-US" w:eastAsia="zh-TW"/>
        </w:rPr>
        <w:t>Possible solutions</w:t>
      </w:r>
    </w:p>
    <w:p w14:paraId="5ED7B052" w14:textId="1D2A2747" w:rsidR="0000382C" w:rsidRPr="0000382C" w:rsidRDefault="0000382C" w:rsidP="0000382C">
      <w:pPr>
        <w:rPr>
          <w:lang w:val="en-US" w:eastAsia="zh-TW"/>
        </w:rPr>
      </w:pPr>
      <w:r>
        <w:rPr>
          <w:lang w:val="en-US" w:eastAsia="zh-TW"/>
        </w:rPr>
        <w:t xml:space="preserve">Other signaling designs expect system information shall be considered. </w:t>
      </w:r>
    </w:p>
    <w:p w14:paraId="0808F1F3" w14:textId="0513383C" w:rsidR="0000382C" w:rsidRDefault="0000382C" w:rsidP="0000382C">
      <w:pPr>
        <w:pStyle w:val="Proposal"/>
        <w:rPr>
          <w:lang w:eastAsia="zh-TW"/>
        </w:rPr>
      </w:pPr>
      <w:bookmarkStart w:id="6" w:name="_Toc61854730"/>
      <w:r>
        <w:rPr>
          <w:lang w:eastAsia="zh-TW"/>
        </w:rPr>
        <w:t>To maintenance UL frequency, any update of NW assistance information may need a</w:t>
      </w:r>
      <w:r w:rsidR="00520D17">
        <w:rPr>
          <w:lang w:eastAsia="zh-TW"/>
        </w:rPr>
        <w:t xml:space="preserve"> </w:t>
      </w:r>
      <w:proofErr w:type="spellStart"/>
      <w:r>
        <w:rPr>
          <w:lang w:eastAsia="zh-TW"/>
        </w:rPr>
        <w:t>signaling</w:t>
      </w:r>
      <w:proofErr w:type="spellEnd"/>
      <w:r>
        <w:rPr>
          <w:lang w:eastAsia="zh-TW"/>
        </w:rPr>
        <w:t xml:space="preserve"> mean other than using system information.</w:t>
      </w:r>
      <w:bookmarkEnd w:id="6"/>
    </w:p>
    <w:p w14:paraId="47AA5541" w14:textId="77777777" w:rsidR="0000382C" w:rsidRPr="00CC04FC" w:rsidRDefault="0000382C" w:rsidP="0000382C">
      <w:pPr>
        <w:pStyle w:val="Proposal"/>
        <w:numPr>
          <w:ilvl w:val="0"/>
          <w:numId w:val="0"/>
        </w:numPr>
        <w:ind w:left="1304" w:hanging="1304"/>
        <w:rPr>
          <w:lang w:eastAsia="zh-TW"/>
        </w:rPr>
      </w:pPr>
    </w:p>
    <w:p w14:paraId="42044CA2" w14:textId="77777777" w:rsidR="00E65ED1" w:rsidRDefault="00A558B4" w:rsidP="00644835">
      <w:pPr>
        <w:pStyle w:val="Heading1"/>
        <w:snapToGrid w:val="0"/>
        <w:jc w:val="both"/>
      </w:pPr>
      <w:r>
        <w:t>Conclusion</w:t>
      </w:r>
    </w:p>
    <w:p w14:paraId="4932D897" w14:textId="77777777" w:rsidR="00520D17"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3EAC07AD" w14:textId="26D55605" w:rsidR="00520D17" w:rsidRDefault="00520D17">
      <w:pPr>
        <w:pStyle w:val="TOC1"/>
        <w:rPr>
          <w:rFonts w:eastAsiaTheme="minorEastAsia" w:cstheme="minorBidi"/>
          <w:b w:val="0"/>
          <w:sz w:val="22"/>
          <w:szCs w:val="22"/>
          <w:lang w:eastAsia="zh-TW"/>
        </w:rPr>
      </w:pPr>
      <w:hyperlink w:anchor="_Toc61854726" w:history="1">
        <w:r w:rsidRPr="00A42374">
          <w:rPr>
            <w:rStyle w:val="Hyperlink"/>
            <w:lang w:eastAsia="zh-TW"/>
          </w:rPr>
          <w:t>Observation 1</w:t>
        </w:r>
        <w:r>
          <w:rPr>
            <w:rFonts w:eastAsiaTheme="minorEastAsia" w:cstheme="minorBidi"/>
            <w:b w:val="0"/>
            <w:sz w:val="22"/>
            <w:szCs w:val="22"/>
            <w:lang w:eastAsia="zh-TW"/>
          </w:rPr>
          <w:tab/>
        </w:r>
        <w:r w:rsidRPr="00A42374">
          <w:rPr>
            <w:rStyle w:val="Hyperlink"/>
            <w:lang w:eastAsia="zh-TW"/>
          </w:rPr>
          <w:t>A reference point for calculating UL transmission timing can be set on the ground, in the air, at the satellite, at the eNB, or a certain point on the service link or a feeder link.</w:t>
        </w:r>
      </w:hyperlink>
    </w:p>
    <w:p w14:paraId="5CB444E2" w14:textId="47068EB8" w:rsidR="008E0AD0" w:rsidRDefault="00BA149C" w:rsidP="00BA149C">
      <w:pPr>
        <w:pStyle w:val="TOC1"/>
        <w:ind w:left="0" w:firstLine="0"/>
        <w:rPr>
          <w:b w:val="0"/>
        </w:rPr>
      </w:pPr>
      <w:r w:rsidRPr="000B5758">
        <w:rPr>
          <w:b w:val="0"/>
        </w:rPr>
        <w:fldChar w:fldCharType="end"/>
      </w:r>
    </w:p>
    <w:p w14:paraId="32FB1D64" w14:textId="01C0CE3A"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33A9CC8D" w14:textId="6C9CE9C5" w:rsidR="00520D17"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61854727" w:history="1">
        <w:r w:rsidR="00520D17" w:rsidRPr="009A0CFA">
          <w:rPr>
            <w:rStyle w:val="Hyperlink"/>
            <w:lang w:eastAsia="zh-TW"/>
          </w:rPr>
          <w:t>Proposal 1</w:t>
        </w:r>
        <w:r w:rsidR="00520D17">
          <w:rPr>
            <w:rFonts w:eastAsiaTheme="minorEastAsia" w:cstheme="minorBidi"/>
            <w:b w:val="0"/>
            <w:sz w:val="22"/>
            <w:szCs w:val="22"/>
            <w:lang w:eastAsia="zh-TW"/>
          </w:rPr>
          <w:tab/>
        </w:r>
        <w:r w:rsidR="00520D17" w:rsidRPr="009A0CFA">
          <w:rPr>
            <w:rStyle w:val="Hyperlink"/>
            <w:lang w:eastAsia="zh-TW"/>
          </w:rPr>
          <w:t>To guarantee the robustness of initial cell search with low complexity, e.g., one-shot detection, enhancement on time and frequency synchronization shall be considered.</w:t>
        </w:r>
      </w:hyperlink>
    </w:p>
    <w:p w14:paraId="1418F978" w14:textId="3B2EABCE" w:rsidR="00520D17" w:rsidRDefault="00520D17">
      <w:pPr>
        <w:pStyle w:val="TOC1"/>
        <w:rPr>
          <w:rFonts w:eastAsiaTheme="minorEastAsia" w:cstheme="minorBidi"/>
          <w:b w:val="0"/>
          <w:sz w:val="22"/>
          <w:szCs w:val="22"/>
          <w:lang w:eastAsia="zh-TW"/>
        </w:rPr>
      </w:pPr>
      <w:hyperlink w:anchor="_Toc61854728" w:history="1">
        <w:r w:rsidRPr="009A0CFA">
          <w:rPr>
            <w:rStyle w:val="Hyperlink"/>
            <w:lang w:eastAsia="zh-TW"/>
          </w:rPr>
          <w:t>Proposal 2</w:t>
        </w:r>
        <w:r>
          <w:rPr>
            <w:rFonts w:eastAsiaTheme="minorEastAsia" w:cstheme="minorBidi"/>
            <w:b w:val="0"/>
            <w:sz w:val="22"/>
            <w:szCs w:val="22"/>
            <w:lang w:eastAsia="zh-TW"/>
          </w:rPr>
          <w:tab/>
        </w:r>
        <w:r w:rsidRPr="009A0CFA">
          <w:rPr>
            <w:rStyle w:val="Hyperlink"/>
            <w:lang w:eastAsia="zh-TW"/>
          </w:rPr>
          <w:t>Evaluate the existing NPRACH formats and determines whether all of them can be reused in NTN.</w:t>
        </w:r>
      </w:hyperlink>
    </w:p>
    <w:p w14:paraId="1D272592" w14:textId="782D7A2A" w:rsidR="00520D17" w:rsidRDefault="00520D17">
      <w:pPr>
        <w:pStyle w:val="TOC1"/>
        <w:rPr>
          <w:rFonts w:eastAsiaTheme="minorEastAsia" w:cstheme="minorBidi"/>
          <w:b w:val="0"/>
          <w:sz w:val="22"/>
          <w:szCs w:val="22"/>
          <w:lang w:eastAsia="zh-TW"/>
        </w:rPr>
      </w:pPr>
      <w:hyperlink w:anchor="_Toc61854729" w:history="1">
        <w:r w:rsidRPr="009A0CFA">
          <w:rPr>
            <w:rStyle w:val="Hyperlink"/>
            <w:lang w:eastAsia="zh-TW"/>
          </w:rPr>
          <w:t>Proposal 3</w:t>
        </w:r>
        <w:r>
          <w:rPr>
            <w:rFonts w:eastAsiaTheme="minorEastAsia" w:cstheme="minorBidi"/>
            <w:b w:val="0"/>
            <w:sz w:val="22"/>
            <w:szCs w:val="22"/>
            <w:lang w:eastAsia="zh-TW"/>
          </w:rPr>
          <w:tab/>
        </w:r>
        <w:r w:rsidRPr="009A0CFA">
          <w:rPr>
            <w:rStyle w:val="Hyperlink"/>
            <w:lang w:eastAsia="zh-TW"/>
          </w:rPr>
          <w:t>A reference point for UL transmission timing shall be set at the eNB, if needed.</w:t>
        </w:r>
      </w:hyperlink>
    </w:p>
    <w:p w14:paraId="01D915A1" w14:textId="404F08F7" w:rsidR="00520D17" w:rsidRDefault="00520D17">
      <w:pPr>
        <w:pStyle w:val="TOC1"/>
        <w:rPr>
          <w:rFonts w:eastAsiaTheme="minorEastAsia" w:cstheme="minorBidi"/>
          <w:b w:val="0"/>
          <w:sz w:val="22"/>
          <w:szCs w:val="22"/>
          <w:lang w:eastAsia="zh-TW"/>
        </w:rPr>
      </w:pPr>
      <w:hyperlink w:anchor="_Toc61854730" w:history="1">
        <w:r w:rsidRPr="009A0CFA">
          <w:rPr>
            <w:rStyle w:val="Hyperlink"/>
            <w:lang w:eastAsia="zh-TW"/>
          </w:rPr>
          <w:t>Proposal 4</w:t>
        </w:r>
        <w:r>
          <w:rPr>
            <w:rFonts w:eastAsiaTheme="minorEastAsia" w:cstheme="minorBidi"/>
            <w:b w:val="0"/>
            <w:sz w:val="22"/>
            <w:szCs w:val="22"/>
            <w:lang w:eastAsia="zh-TW"/>
          </w:rPr>
          <w:tab/>
        </w:r>
        <w:r w:rsidRPr="009A0CFA">
          <w:rPr>
            <w:rStyle w:val="Hyperlink"/>
            <w:lang w:eastAsia="zh-TW"/>
          </w:rPr>
          <w:t>To maintenance UL frequency, any update of NW assistance information may need a signaling mean other than using system information.</w:t>
        </w:r>
      </w:hyperlink>
    </w:p>
    <w:p w14:paraId="7014C4E4" w14:textId="001F6ED3" w:rsidR="00DC2352" w:rsidRPr="00DC2352" w:rsidRDefault="005B1DDB" w:rsidP="00DB7D46">
      <w:pPr>
        <w:pStyle w:val="TOC1"/>
      </w:pPr>
      <w:r>
        <w:fldChar w:fldCharType="end"/>
      </w:r>
    </w:p>
    <w:p w14:paraId="53C87396" w14:textId="71E500A7" w:rsidR="000B5758" w:rsidRDefault="00FA106B" w:rsidP="00644835">
      <w:pPr>
        <w:pStyle w:val="Heading1"/>
        <w:snapToGrid w:val="0"/>
        <w:jc w:val="both"/>
      </w:pPr>
      <w:r>
        <w:t>Reference</w:t>
      </w:r>
    </w:p>
    <w:p w14:paraId="43702CF4" w14:textId="057E7139" w:rsidR="000A17C4" w:rsidRDefault="000A17C4" w:rsidP="00E232E4">
      <w:pPr>
        <w:pStyle w:val="Reference"/>
      </w:pPr>
      <w:bookmarkStart w:id="7" w:name="_Ref9595909"/>
      <w:bookmarkStart w:id="8" w:name="_Ref16874156"/>
      <w:r w:rsidRPr="000A17C4">
        <w:t>Chairman</w:t>
      </w:r>
      <w:r>
        <w:t>’s</w:t>
      </w:r>
      <w:r w:rsidRPr="000A17C4">
        <w:t xml:space="preserve"> Notes, 3GPP TSG RAN WG1 #10</w:t>
      </w:r>
      <w:r w:rsidR="00AC5D71">
        <w:t>3</w:t>
      </w:r>
      <w:r w:rsidRPr="000A17C4">
        <w:t xml:space="preserve"> e-meeting</w:t>
      </w:r>
    </w:p>
    <w:p w14:paraId="404B9072" w14:textId="0F77157C"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AC5D71">
        <w:t>2</w:t>
      </w:r>
      <w:r w:rsidRPr="000A17C4">
        <w:t xml:space="preserve"> e-meeting</w:t>
      </w:r>
    </w:p>
    <w:p w14:paraId="6A91E44B" w14:textId="06A26FB6" w:rsidR="00B60004" w:rsidRPr="003F1C40" w:rsidRDefault="00055F40" w:rsidP="00E232E4">
      <w:pPr>
        <w:pStyle w:val="Reference"/>
      </w:pPr>
      <w:r w:rsidRPr="00055F40">
        <w:rPr>
          <w:rFonts w:cs="Arial"/>
        </w:rPr>
        <w:t>3GPP TR 38.821 V16.0.0</w:t>
      </w:r>
      <w:bookmarkEnd w:id="7"/>
      <w:bookmarkEnd w:id="8"/>
      <w:r>
        <w:rPr>
          <w:rFonts w:cs="Arial"/>
        </w:rPr>
        <w:t xml:space="preserve">, </w:t>
      </w:r>
      <w:r w:rsidRPr="00055F40">
        <w:rPr>
          <w:rFonts w:cs="Arial"/>
        </w:rPr>
        <w:t>Solutions for NR to support non-terrestrial networks</w:t>
      </w:r>
      <w:r>
        <w:rPr>
          <w:rFonts w:cs="Arial"/>
        </w:rPr>
        <w:t>, December 2019.</w:t>
      </w:r>
    </w:p>
    <w:bookmarkStart w:id="9" w:name="_Hlk61512147"/>
    <w:p w14:paraId="77CB8A69" w14:textId="3CEADB62" w:rsidR="001E6B16" w:rsidRDefault="001E6B16" w:rsidP="00E232E4">
      <w:pPr>
        <w:pStyle w:val="Reference"/>
      </w:pPr>
      <w:r w:rsidRPr="001E6B16">
        <w:fldChar w:fldCharType="begin"/>
      </w:r>
      <w:r w:rsidRPr="001E6B16">
        <w:instrText xml:space="preserve"> HYPERLINK "http://www.3gpp.org/ftp/tsg_ran/TSG_RAN/TSGR_90e/Docs/RP-202689.zip" </w:instrText>
      </w:r>
      <w:r w:rsidRPr="001E6B16">
        <w:fldChar w:fldCharType="separate"/>
      </w:r>
      <w:r w:rsidRPr="001E6B16">
        <w:rPr>
          <w:rStyle w:val="Hyperlink"/>
          <w:rFonts w:eastAsiaTheme="majorEastAsia"/>
        </w:rPr>
        <w:t>RP-202689</w:t>
      </w:r>
      <w:r w:rsidRPr="001E6B16">
        <w:fldChar w:fldCharType="end"/>
      </w:r>
      <w:r>
        <w:t xml:space="preserve">, </w:t>
      </w:r>
      <w:r w:rsidRPr="001E6B16">
        <w:t>New Study WID on NB-IoT/</w:t>
      </w:r>
      <w:proofErr w:type="spellStart"/>
      <w:r w:rsidRPr="001E6B16">
        <w:t>eM</w:t>
      </w:r>
      <w:r>
        <w:t>T</w:t>
      </w:r>
      <w:r w:rsidRPr="001E6B16">
        <w:t>C</w:t>
      </w:r>
      <w:proofErr w:type="spellEnd"/>
      <w:r w:rsidRPr="001E6B16">
        <w:t xml:space="preserve"> support for NTN</w:t>
      </w:r>
      <w:r>
        <w:t xml:space="preserve">, </w:t>
      </w:r>
      <w:r w:rsidRPr="001E6B16">
        <w:t>MediaTek Inc.</w:t>
      </w:r>
    </w:p>
    <w:bookmarkEnd w:id="9"/>
    <w:p w14:paraId="2D415B5F" w14:textId="440C276B" w:rsidR="00585C4C" w:rsidRPr="00585C4C" w:rsidRDefault="00585C4C" w:rsidP="00074655"/>
    <w:sectPr w:rsidR="00585C4C" w:rsidRPr="00585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E5906D" w14:textId="77777777" w:rsidR="00014576" w:rsidRDefault="00014576" w:rsidP="0063297B">
      <w:pPr>
        <w:spacing w:after="0"/>
      </w:pPr>
      <w:r>
        <w:separator/>
      </w:r>
    </w:p>
  </w:endnote>
  <w:endnote w:type="continuationSeparator" w:id="0">
    <w:p w14:paraId="3F06EDFC" w14:textId="77777777" w:rsidR="00014576" w:rsidRDefault="00014576" w:rsidP="0063297B">
      <w:pPr>
        <w:spacing w:after="0"/>
      </w:pPr>
      <w:r>
        <w:continuationSeparator/>
      </w:r>
    </w:p>
  </w:endnote>
  <w:endnote w:type="continuationNotice" w:id="1">
    <w:p w14:paraId="6E636C8C" w14:textId="77777777" w:rsidR="00014576" w:rsidRDefault="000145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0E76F4" w14:textId="77777777" w:rsidR="00014576" w:rsidRDefault="00014576" w:rsidP="0063297B">
      <w:pPr>
        <w:spacing w:after="0"/>
      </w:pPr>
      <w:r>
        <w:separator/>
      </w:r>
    </w:p>
  </w:footnote>
  <w:footnote w:type="continuationSeparator" w:id="0">
    <w:p w14:paraId="66E6B1CF" w14:textId="77777777" w:rsidR="00014576" w:rsidRDefault="00014576" w:rsidP="0063297B">
      <w:pPr>
        <w:spacing w:after="0"/>
      </w:pPr>
      <w:r>
        <w:continuationSeparator/>
      </w:r>
    </w:p>
  </w:footnote>
  <w:footnote w:type="continuationNotice" w:id="1">
    <w:p w14:paraId="2DB18A93" w14:textId="77777777" w:rsidR="00014576" w:rsidRDefault="000145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2F"/>
    <w:multiLevelType w:val="hybridMultilevel"/>
    <w:tmpl w:val="F97CC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F37A8"/>
    <w:multiLevelType w:val="hybridMultilevel"/>
    <w:tmpl w:val="D36C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0477A"/>
    <w:multiLevelType w:val="hybridMultilevel"/>
    <w:tmpl w:val="0568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440D0"/>
    <w:multiLevelType w:val="hybridMultilevel"/>
    <w:tmpl w:val="68BEC7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375A6"/>
    <w:multiLevelType w:val="hybridMultilevel"/>
    <w:tmpl w:val="7ADE0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D51537"/>
    <w:multiLevelType w:val="hybridMultilevel"/>
    <w:tmpl w:val="2D64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865B66"/>
    <w:multiLevelType w:val="hybridMultilevel"/>
    <w:tmpl w:val="53EE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7C3169"/>
    <w:multiLevelType w:val="hybridMultilevel"/>
    <w:tmpl w:val="6E7CF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E45ADE"/>
    <w:multiLevelType w:val="hybridMultilevel"/>
    <w:tmpl w:val="7090BB7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DA7F7E"/>
    <w:multiLevelType w:val="hybridMultilevel"/>
    <w:tmpl w:val="9AA64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9848AC"/>
    <w:multiLevelType w:val="hybridMultilevel"/>
    <w:tmpl w:val="7B6E9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58F4CED"/>
    <w:multiLevelType w:val="hybridMultilevel"/>
    <w:tmpl w:val="D60A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5"/>
  </w:num>
  <w:num w:numId="4">
    <w:abstractNumId w:val="10"/>
  </w:num>
  <w:num w:numId="5">
    <w:abstractNumId w:val="16"/>
  </w:num>
  <w:num w:numId="6">
    <w:abstractNumId w:val="3"/>
  </w:num>
  <w:num w:numId="7">
    <w:abstractNumId w:val="19"/>
  </w:num>
  <w:num w:numId="8">
    <w:abstractNumId w:val="21"/>
  </w:num>
  <w:num w:numId="9">
    <w:abstractNumId w:val="6"/>
  </w:num>
  <w:num w:numId="10">
    <w:abstractNumId w:val="22"/>
  </w:num>
  <w:num w:numId="11">
    <w:abstractNumId w:val="11"/>
  </w:num>
  <w:num w:numId="12">
    <w:abstractNumId w:val="15"/>
  </w:num>
  <w:num w:numId="13">
    <w:abstractNumId w:val="1"/>
  </w:num>
  <w:num w:numId="14">
    <w:abstractNumId w:val="14"/>
  </w:num>
  <w:num w:numId="15">
    <w:abstractNumId w:val="4"/>
  </w:num>
  <w:num w:numId="16">
    <w:abstractNumId w:val="17"/>
  </w:num>
  <w:num w:numId="17">
    <w:abstractNumId w:val="7"/>
  </w:num>
  <w:num w:numId="18">
    <w:abstractNumId w:val="24"/>
  </w:num>
  <w:num w:numId="19">
    <w:abstractNumId w:val="0"/>
  </w:num>
  <w:num w:numId="20">
    <w:abstractNumId w:val="23"/>
  </w:num>
  <w:num w:numId="21">
    <w:abstractNumId w:val="8"/>
  </w:num>
  <w:num w:numId="22">
    <w:abstractNumId w:val="18"/>
  </w:num>
  <w:num w:numId="23">
    <w:abstractNumId w:val="25"/>
  </w:num>
  <w:num w:numId="24">
    <w:abstractNumId w:val="9"/>
  </w:num>
  <w:num w:numId="25">
    <w:abstractNumId w:val="20"/>
  </w:num>
  <w:num w:numId="26">
    <w:abstractNumId w:val="13"/>
  </w:num>
  <w:num w:numId="2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LKoBQADuVRpLgAAAA=="/>
  </w:docVars>
  <w:rsids>
    <w:rsidRoot w:val="006A4A78"/>
    <w:rsid w:val="00000FA6"/>
    <w:rsid w:val="0000382C"/>
    <w:rsid w:val="00003AA2"/>
    <w:rsid w:val="00003D59"/>
    <w:rsid w:val="00004A2B"/>
    <w:rsid w:val="00004E8F"/>
    <w:rsid w:val="00006443"/>
    <w:rsid w:val="00006FCB"/>
    <w:rsid w:val="00011505"/>
    <w:rsid w:val="00014161"/>
    <w:rsid w:val="00014576"/>
    <w:rsid w:val="000164F1"/>
    <w:rsid w:val="00020A7D"/>
    <w:rsid w:val="00021E26"/>
    <w:rsid w:val="000222B7"/>
    <w:rsid w:val="00023F41"/>
    <w:rsid w:val="00026B35"/>
    <w:rsid w:val="00030062"/>
    <w:rsid w:val="000305CD"/>
    <w:rsid w:val="0003330B"/>
    <w:rsid w:val="00036240"/>
    <w:rsid w:val="00040844"/>
    <w:rsid w:val="000418A6"/>
    <w:rsid w:val="000421CD"/>
    <w:rsid w:val="000436CD"/>
    <w:rsid w:val="000501B3"/>
    <w:rsid w:val="000537D6"/>
    <w:rsid w:val="0005532F"/>
    <w:rsid w:val="00055F40"/>
    <w:rsid w:val="00060CBC"/>
    <w:rsid w:val="00060D85"/>
    <w:rsid w:val="000641E0"/>
    <w:rsid w:val="00065F28"/>
    <w:rsid w:val="0006645F"/>
    <w:rsid w:val="00067093"/>
    <w:rsid w:val="000710A5"/>
    <w:rsid w:val="00074655"/>
    <w:rsid w:val="00074AE0"/>
    <w:rsid w:val="000765E8"/>
    <w:rsid w:val="00077493"/>
    <w:rsid w:val="000877E2"/>
    <w:rsid w:val="00087FF4"/>
    <w:rsid w:val="00090CC3"/>
    <w:rsid w:val="00090D23"/>
    <w:rsid w:val="00092147"/>
    <w:rsid w:val="00092C12"/>
    <w:rsid w:val="00093E4D"/>
    <w:rsid w:val="0009635D"/>
    <w:rsid w:val="00097574"/>
    <w:rsid w:val="000A05A9"/>
    <w:rsid w:val="000A17C4"/>
    <w:rsid w:val="000A27C5"/>
    <w:rsid w:val="000A6C7A"/>
    <w:rsid w:val="000A72BB"/>
    <w:rsid w:val="000A79F1"/>
    <w:rsid w:val="000A7AAE"/>
    <w:rsid w:val="000B11D8"/>
    <w:rsid w:val="000B31C4"/>
    <w:rsid w:val="000B5758"/>
    <w:rsid w:val="000B7313"/>
    <w:rsid w:val="000B7A02"/>
    <w:rsid w:val="000C04E8"/>
    <w:rsid w:val="000C3AA3"/>
    <w:rsid w:val="000C4A32"/>
    <w:rsid w:val="000C5587"/>
    <w:rsid w:val="000C7444"/>
    <w:rsid w:val="000D0FD9"/>
    <w:rsid w:val="000D436E"/>
    <w:rsid w:val="000D45DB"/>
    <w:rsid w:val="000E0986"/>
    <w:rsid w:val="000E09B3"/>
    <w:rsid w:val="000E27E3"/>
    <w:rsid w:val="000F1DC9"/>
    <w:rsid w:val="000F27B9"/>
    <w:rsid w:val="000F2C86"/>
    <w:rsid w:val="000F4B95"/>
    <w:rsid w:val="00100FD3"/>
    <w:rsid w:val="00101F1E"/>
    <w:rsid w:val="00102528"/>
    <w:rsid w:val="001032BE"/>
    <w:rsid w:val="0010633B"/>
    <w:rsid w:val="001076D2"/>
    <w:rsid w:val="001118DC"/>
    <w:rsid w:val="00120364"/>
    <w:rsid w:val="00120EE7"/>
    <w:rsid w:val="00121950"/>
    <w:rsid w:val="00121AA9"/>
    <w:rsid w:val="00122951"/>
    <w:rsid w:val="0012473C"/>
    <w:rsid w:val="001255FC"/>
    <w:rsid w:val="00130D59"/>
    <w:rsid w:val="00131DA4"/>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6C58"/>
    <w:rsid w:val="00163F57"/>
    <w:rsid w:val="00164F50"/>
    <w:rsid w:val="00165218"/>
    <w:rsid w:val="00167C09"/>
    <w:rsid w:val="00171803"/>
    <w:rsid w:val="00174C28"/>
    <w:rsid w:val="00175DBA"/>
    <w:rsid w:val="0017744C"/>
    <w:rsid w:val="00182048"/>
    <w:rsid w:val="001829DB"/>
    <w:rsid w:val="001831DE"/>
    <w:rsid w:val="00184890"/>
    <w:rsid w:val="00184BB8"/>
    <w:rsid w:val="0019033F"/>
    <w:rsid w:val="001931BC"/>
    <w:rsid w:val="00193A3E"/>
    <w:rsid w:val="001946A6"/>
    <w:rsid w:val="00196E45"/>
    <w:rsid w:val="001973AC"/>
    <w:rsid w:val="001974BD"/>
    <w:rsid w:val="001A5651"/>
    <w:rsid w:val="001B2393"/>
    <w:rsid w:val="001B4136"/>
    <w:rsid w:val="001B4DAE"/>
    <w:rsid w:val="001B515B"/>
    <w:rsid w:val="001C04A9"/>
    <w:rsid w:val="001C1EFB"/>
    <w:rsid w:val="001C410A"/>
    <w:rsid w:val="001C58A5"/>
    <w:rsid w:val="001C7E73"/>
    <w:rsid w:val="001D0914"/>
    <w:rsid w:val="001D4A6B"/>
    <w:rsid w:val="001D6C31"/>
    <w:rsid w:val="001D7D48"/>
    <w:rsid w:val="001E2038"/>
    <w:rsid w:val="001E3E19"/>
    <w:rsid w:val="001E52CF"/>
    <w:rsid w:val="001E5E12"/>
    <w:rsid w:val="001E5F97"/>
    <w:rsid w:val="001E6B16"/>
    <w:rsid w:val="001E76E6"/>
    <w:rsid w:val="001F2D2A"/>
    <w:rsid w:val="001F35F3"/>
    <w:rsid w:val="001F43F8"/>
    <w:rsid w:val="001F4CAD"/>
    <w:rsid w:val="001F7E27"/>
    <w:rsid w:val="00200849"/>
    <w:rsid w:val="002040A5"/>
    <w:rsid w:val="002106F3"/>
    <w:rsid w:val="00211E96"/>
    <w:rsid w:val="00212810"/>
    <w:rsid w:val="00212D57"/>
    <w:rsid w:val="00213ECA"/>
    <w:rsid w:val="0021555A"/>
    <w:rsid w:val="00216373"/>
    <w:rsid w:val="00217B35"/>
    <w:rsid w:val="002241DA"/>
    <w:rsid w:val="00225128"/>
    <w:rsid w:val="00225E4C"/>
    <w:rsid w:val="00226600"/>
    <w:rsid w:val="002270CB"/>
    <w:rsid w:val="0023412A"/>
    <w:rsid w:val="00235AF7"/>
    <w:rsid w:val="0023631B"/>
    <w:rsid w:val="002364F5"/>
    <w:rsid w:val="002409BC"/>
    <w:rsid w:val="00243F21"/>
    <w:rsid w:val="00244EF7"/>
    <w:rsid w:val="002471CA"/>
    <w:rsid w:val="00251AA6"/>
    <w:rsid w:val="002609CA"/>
    <w:rsid w:val="0026122C"/>
    <w:rsid w:val="0026147C"/>
    <w:rsid w:val="00265BC6"/>
    <w:rsid w:val="00266699"/>
    <w:rsid w:val="00267FF5"/>
    <w:rsid w:val="002723A9"/>
    <w:rsid w:val="00272612"/>
    <w:rsid w:val="00272CD0"/>
    <w:rsid w:val="002737F8"/>
    <w:rsid w:val="00274F00"/>
    <w:rsid w:val="002753CB"/>
    <w:rsid w:val="00277ED8"/>
    <w:rsid w:val="00282A28"/>
    <w:rsid w:val="0028348F"/>
    <w:rsid w:val="00283B47"/>
    <w:rsid w:val="00283DA5"/>
    <w:rsid w:val="00290D43"/>
    <w:rsid w:val="00292790"/>
    <w:rsid w:val="00292A1A"/>
    <w:rsid w:val="0029349D"/>
    <w:rsid w:val="002947BE"/>
    <w:rsid w:val="00296E04"/>
    <w:rsid w:val="002A1292"/>
    <w:rsid w:val="002A1A42"/>
    <w:rsid w:val="002A1C4F"/>
    <w:rsid w:val="002A2446"/>
    <w:rsid w:val="002A27CD"/>
    <w:rsid w:val="002A31E6"/>
    <w:rsid w:val="002A4692"/>
    <w:rsid w:val="002A48BD"/>
    <w:rsid w:val="002A702D"/>
    <w:rsid w:val="002B4821"/>
    <w:rsid w:val="002B48CB"/>
    <w:rsid w:val="002B6018"/>
    <w:rsid w:val="002B6795"/>
    <w:rsid w:val="002C1440"/>
    <w:rsid w:val="002C4EF6"/>
    <w:rsid w:val="002D0A11"/>
    <w:rsid w:val="002D1055"/>
    <w:rsid w:val="002D39B1"/>
    <w:rsid w:val="002E3D41"/>
    <w:rsid w:val="002E66D5"/>
    <w:rsid w:val="002E7111"/>
    <w:rsid w:val="002E7AB4"/>
    <w:rsid w:val="002F0281"/>
    <w:rsid w:val="002F15A9"/>
    <w:rsid w:val="002F1BD5"/>
    <w:rsid w:val="002F4CE6"/>
    <w:rsid w:val="002F7B8A"/>
    <w:rsid w:val="00303EA2"/>
    <w:rsid w:val="00303F1A"/>
    <w:rsid w:val="00306D3F"/>
    <w:rsid w:val="00306FC1"/>
    <w:rsid w:val="003102DB"/>
    <w:rsid w:val="00311FC9"/>
    <w:rsid w:val="0031408C"/>
    <w:rsid w:val="003211BF"/>
    <w:rsid w:val="00326933"/>
    <w:rsid w:val="00332483"/>
    <w:rsid w:val="003352D3"/>
    <w:rsid w:val="003368BC"/>
    <w:rsid w:val="00337856"/>
    <w:rsid w:val="00337EC7"/>
    <w:rsid w:val="00340930"/>
    <w:rsid w:val="00340A5E"/>
    <w:rsid w:val="00340E36"/>
    <w:rsid w:val="003442D0"/>
    <w:rsid w:val="00346ED1"/>
    <w:rsid w:val="003503FC"/>
    <w:rsid w:val="003505C3"/>
    <w:rsid w:val="00355897"/>
    <w:rsid w:val="00357483"/>
    <w:rsid w:val="003607F9"/>
    <w:rsid w:val="0036258E"/>
    <w:rsid w:val="00362A8A"/>
    <w:rsid w:val="00362BCF"/>
    <w:rsid w:val="00370BCE"/>
    <w:rsid w:val="00370FF3"/>
    <w:rsid w:val="00372381"/>
    <w:rsid w:val="0037309A"/>
    <w:rsid w:val="00373A3F"/>
    <w:rsid w:val="00375A17"/>
    <w:rsid w:val="00377537"/>
    <w:rsid w:val="003808D2"/>
    <w:rsid w:val="0038162C"/>
    <w:rsid w:val="00384E37"/>
    <w:rsid w:val="00387A01"/>
    <w:rsid w:val="00391B61"/>
    <w:rsid w:val="0039336A"/>
    <w:rsid w:val="003975BA"/>
    <w:rsid w:val="003A0843"/>
    <w:rsid w:val="003A244E"/>
    <w:rsid w:val="003A31AC"/>
    <w:rsid w:val="003A527A"/>
    <w:rsid w:val="003A666D"/>
    <w:rsid w:val="003A6CFF"/>
    <w:rsid w:val="003A76B6"/>
    <w:rsid w:val="003B107F"/>
    <w:rsid w:val="003B4232"/>
    <w:rsid w:val="003C0D07"/>
    <w:rsid w:val="003C13D5"/>
    <w:rsid w:val="003C1C03"/>
    <w:rsid w:val="003C26EB"/>
    <w:rsid w:val="003C5EA8"/>
    <w:rsid w:val="003C6207"/>
    <w:rsid w:val="003D035E"/>
    <w:rsid w:val="003D30D6"/>
    <w:rsid w:val="003D6209"/>
    <w:rsid w:val="003D71D7"/>
    <w:rsid w:val="003E009E"/>
    <w:rsid w:val="003E49D6"/>
    <w:rsid w:val="003E54CD"/>
    <w:rsid w:val="003F1C40"/>
    <w:rsid w:val="003F2BD1"/>
    <w:rsid w:val="003F2E97"/>
    <w:rsid w:val="003F3F26"/>
    <w:rsid w:val="003F4247"/>
    <w:rsid w:val="0040171C"/>
    <w:rsid w:val="00405441"/>
    <w:rsid w:val="00410971"/>
    <w:rsid w:val="00413AF5"/>
    <w:rsid w:val="00413D5C"/>
    <w:rsid w:val="004171CF"/>
    <w:rsid w:val="00420264"/>
    <w:rsid w:val="004203E2"/>
    <w:rsid w:val="0042311E"/>
    <w:rsid w:val="00425C0E"/>
    <w:rsid w:val="00425C93"/>
    <w:rsid w:val="00425F92"/>
    <w:rsid w:val="004261E2"/>
    <w:rsid w:val="0042691F"/>
    <w:rsid w:val="0042740D"/>
    <w:rsid w:val="00427437"/>
    <w:rsid w:val="00431CDC"/>
    <w:rsid w:val="00432AD4"/>
    <w:rsid w:val="00432CCD"/>
    <w:rsid w:val="00433631"/>
    <w:rsid w:val="00433A2E"/>
    <w:rsid w:val="00437745"/>
    <w:rsid w:val="00441C9E"/>
    <w:rsid w:val="004439C8"/>
    <w:rsid w:val="00444A3E"/>
    <w:rsid w:val="00445A29"/>
    <w:rsid w:val="00447C4B"/>
    <w:rsid w:val="0045220E"/>
    <w:rsid w:val="00454E41"/>
    <w:rsid w:val="00456894"/>
    <w:rsid w:val="00457B2A"/>
    <w:rsid w:val="0046028C"/>
    <w:rsid w:val="00460684"/>
    <w:rsid w:val="00460688"/>
    <w:rsid w:val="00460C5A"/>
    <w:rsid w:val="00460FAA"/>
    <w:rsid w:val="00464515"/>
    <w:rsid w:val="004660F0"/>
    <w:rsid w:val="004708FC"/>
    <w:rsid w:val="0047117D"/>
    <w:rsid w:val="004714B4"/>
    <w:rsid w:val="0047265B"/>
    <w:rsid w:val="00474D26"/>
    <w:rsid w:val="00475340"/>
    <w:rsid w:val="0047552D"/>
    <w:rsid w:val="0047641F"/>
    <w:rsid w:val="00480574"/>
    <w:rsid w:val="00482E98"/>
    <w:rsid w:val="0048463B"/>
    <w:rsid w:val="0048600B"/>
    <w:rsid w:val="004879FB"/>
    <w:rsid w:val="00493C71"/>
    <w:rsid w:val="00494427"/>
    <w:rsid w:val="004964CD"/>
    <w:rsid w:val="004A0649"/>
    <w:rsid w:val="004A067C"/>
    <w:rsid w:val="004A2BB1"/>
    <w:rsid w:val="004A40FE"/>
    <w:rsid w:val="004B2DB2"/>
    <w:rsid w:val="004B462B"/>
    <w:rsid w:val="004B72F3"/>
    <w:rsid w:val="004B747E"/>
    <w:rsid w:val="004B7B1D"/>
    <w:rsid w:val="004C2EBF"/>
    <w:rsid w:val="004C47D1"/>
    <w:rsid w:val="004C688C"/>
    <w:rsid w:val="004D13EF"/>
    <w:rsid w:val="004D2FAE"/>
    <w:rsid w:val="004D3D2A"/>
    <w:rsid w:val="004D46B5"/>
    <w:rsid w:val="004D4D34"/>
    <w:rsid w:val="004D4E24"/>
    <w:rsid w:val="004D5B34"/>
    <w:rsid w:val="004D5E5A"/>
    <w:rsid w:val="004D6280"/>
    <w:rsid w:val="004D6C28"/>
    <w:rsid w:val="004D7A67"/>
    <w:rsid w:val="004E115A"/>
    <w:rsid w:val="004E3848"/>
    <w:rsid w:val="004E61D7"/>
    <w:rsid w:val="004F5591"/>
    <w:rsid w:val="004F5C1E"/>
    <w:rsid w:val="00500A75"/>
    <w:rsid w:val="00500E29"/>
    <w:rsid w:val="00503526"/>
    <w:rsid w:val="005055AF"/>
    <w:rsid w:val="00505D07"/>
    <w:rsid w:val="005079E3"/>
    <w:rsid w:val="00512877"/>
    <w:rsid w:val="00516FA9"/>
    <w:rsid w:val="00520A09"/>
    <w:rsid w:val="00520D17"/>
    <w:rsid w:val="005225DB"/>
    <w:rsid w:val="00522BF1"/>
    <w:rsid w:val="00523143"/>
    <w:rsid w:val="00531151"/>
    <w:rsid w:val="00533B6B"/>
    <w:rsid w:val="00533C06"/>
    <w:rsid w:val="00534496"/>
    <w:rsid w:val="00535AFB"/>
    <w:rsid w:val="00536B25"/>
    <w:rsid w:val="00540DA1"/>
    <w:rsid w:val="00546D32"/>
    <w:rsid w:val="0055061B"/>
    <w:rsid w:val="00550FD9"/>
    <w:rsid w:val="005514A9"/>
    <w:rsid w:val="00552805"/>
    <w:rsid w:val="0055286A"/>
    <w:rsid w:val="00553D6C"/>
    <w:rsid w:val="00556EA5"/>
    <w:rsid w:val="00557C1B"/>
    <w:rsid w:val="00560604"/>
    <w:rsid w:val="005643DD"/>
    <w:rsid w:val="00564A21"/>
    <w:rsid w:val="00565180"/>
    <w:rsid w:val="00567510"/>
    <w:rsid w:val="00571861"/>
    <w:rsid w:val="005718A0"/>
    <w:rsid w:val="0057520F"/>
    <w:rsid w:val="00575D10"/>
    <w:rsid w:val="005779ED"/>
    <w:rsid w:val="00580B52"/>
    <w:rsid w:val="00582423"/>
    <w:rsid w:val="00583232"/>
    <w:rsid w:val="00584790"/>
    <w:rsid w:val="00585C4C"/>
    <w:rsid w:val="00586095"/>
    <w:rsid w:val="00587BF9"/>
    <w:rsid w:val="005926E6"/>
    <w:rsid w:val="00595E68"/>
    <w:rsid w:val="00597063"/>
    <w:rsid w:val="0059772B"/>
    <w:rsid w:val="005A024C"/>
    <w:rsid w:val="005A0389"/>
    <w:rsid w:val="005A2F7F"/>
    <w:rsid w:val="005A3609"/>
    <w:rsid w:val="005A3BA9"/>
    <w:rsid w:val="005A470C"/>
    <w:rsid w:val="005A7208"/>
    <w:rsid w:val="005B1DDB"/>
    <w:rsid w:val="005B2863"/>
    <w:rsid w:val="005B2BFB"/>
    <w:rsid w:val="005B3BEC"/>
    <w:rsid w:val="005B48F8"/>
    <w:rsid w:val="005B4FDE"/>
    <w:rsid w:val="005B682D"/>
    <w:rsid w:val="005B7891"/>
    <w:rsid w:val="005B7F3C"/>
    <w:rsid w:val="005C11C5"/>
    <w:rsid w:val="005C3210"/>
    <w:rsid w:val="005C58FC"/>
    <w:rsid w:val="005C678D"/>
    <w:rsid w:val="005C6839"/>
    <w:rsid w:val="005D0A0F"/>
    <w:rsid w:val="005D31EF"/>
    <w:rsid w:val="005D3E2C"/>
    <w:rsid w:val="005D4753"/>
    <w:rsid w:val="005D5D36"/>
    <w:rsid w:val="005D6242"/>
    <w:rsid w:val="005D701E"/>
    <w:rsid w:val="005E1BB4"/>
    <w:rsid w:val="005E1F4B"/>
    <w:rsid w:val="005E1FB1"/>
    <w:rsid w:val="005E507B"/>
    <w:rsid w:val="005E5795"/>
    <w:rsid w:val="005E60B7"/>
    <w:rsid w:val="005E7CBA"/>
    <w:rsid w:val="005F5B9E"/>
    <w:rsid w:val="005F6223"/>
    <w:rsid w:val="005F757D"/>
    <w:rsid w:val="006021F8"/>
    <w:rsid w:val="006032B2"/>
    <w:rsid w:val="0060555D"/>
    <w:rsid w:val="00607499"/>
    <w:rsid w:val="006147C9"/>
    <w:rsid w:val="00614C28"/>
    <w:rsid w:val="00615999"/>
    <w:rsid w:val="00620AD2"/>
    <w:rsid w:val="006226AC"/>
    <w:rsid w:val="00623C12"/>
    <w:rsid w:val="0062448C"/>
    <w:rsid w:val="006257A0"/>
    <w:rsid w:val="006300A6"/>
    <w:rsid w:val="0063297B"/>
    <w:rsid w:val="006332F3"/>
    <w:rsid w:val="00636D01"/>
    <w:rsid w:val="006402AA"/>
    <w:rsid w:val="00641823"/>
    <w:rsid w:val="00642466"/>
    <w:rsid w:val="00642B9C"/>
    <w:rsid w:val="00644835"/>
    <w:rsid w:val="00645202"/>
    <w:rsid w:val="00645FE6"/>
    <w:rsid w:val="0065041F"/>
    <w:rsid w:val="00650F0D"/>
    <w:rsid w:val="00651F58"/>
    <w:rsid w:val="0065285D"/>
    <w:rsid w:val="00653C28"/>
    <w:rsid w:val="00656425"/>
    <w:rsid w:val="00662F9A"/>
    <w:rsid w:val="00662FC7"/>
    <w:rsid w:val="00663591"/>
    <w:rsid w:val="00665020"/>
    <w:rsid w:val="0067023C"/>
    <w:rsid w:val="006714EF"/>
    <w:rsid w:val="00676540"/>
    <w:rsid w:val="006776A9"/>
    <w:rsid w:val="006819C5"/>
    <w:rsid w:val="00681C40"/>
    <w:rsid w:val="006832B4"/>
    <w:rsid w:val="00683624"/>
    <w:rsid w:val="006873C3"/>
    <w:rsid w:val="00691992"/>
    <w:rsid w:val="00692027"/>
    <w:rsid w:val="00692312"/>
    <w:rsid w:val="00692E9D"/>
    <w:rsid w:val="006948BE"/>
    <w:rsid w:val="006A03ED"/>
    <w:rsid w:val="006A10E4"/>
    <w:rsid w:val="006A1C3E"/>
    <w:rsid w:val="006A374C"/>
    <w:rsid w:val="006A4A78"/>
    <w:rsid w:val="006A4C24"/>
    <w:rsid w:val="006A59AA"/>
    <w:rsid w:val="006A641B"/>
    <w:rsid w:val="006A65F5"/>
    <w:rsid w:val="006A6ECE"/>
    <w:rsid w:val="006B13F0"/>
    <w:rsid w:val="006B14E1"/>
    <w:rsid w:val="006B40C4"/>
    <w:rsid w:val="006B76D5"/>
    <w:rsid w:val="006C378D"/>
    <w:rsid w:val="006C3FCB"/>
    <w:rsid w:val="006C627A"/>
    <w:rsid w:val="006C678B"/>
    <w:rsid w:val="006C6CC7"/>
    <w:rsid w:val="006D1968"/>
    <w:rsid w:val="006E216B"/>
    <w:rsid w:val="006E49AE"/>
    <w:rsid w:val="006E729C"/>
    <w:rsid w:val="006F0C0C"/>
    <w:rsid w:val="006F2A6B"/>
    <w:rsid w:val="007008FE"/>
    <w:rsid w:val="007041E8"/>
    <w:rsid w:val="00704522"/>
    <w:rsid w:val="007112C0"/>
    <w:rsid w:val="00711DDA"/>
    <w:rsid w:val="00712CB4"/>
    <w:rsid w:val="00714DA9"/>
    <w:rsid w:val="00721143"/>
    <w:rsid w:val="007213CA"/>
    <w:rsid w:val="007220C1"/>
    <w:rsid w:val="00723DB2"/>
    <w:rsid w:val="00724BA4"/>
    <w:rsid w:val="00725FE1"/>
    <w:rsid w:val="00726351"/>
    <w:rsid w:val="007307A2"/>
    <w:rsid w:val="00733F14"/>
    <w:rsid w:val="007355C9"/>
    <w:rsid w:val="0073595F"/>
    <w:rsid w:val="00741F9B"/>
    <w:rsid w:val="007456F8"/>
    <w:rsid w:val="00745EC5"/>
    <w:rsid w:val="007461F0"/>
    <w:rsid w:val="007514BA"/>
    <w:rsid w:val="00752DE6"/>
    <w:rsid w:val="00755B4F"/>
    <w:rsid w:val="0075637F"/>
    <w:rsid w:val="00762760"/>
    <w:rsid w:val="00763F72"/>
    <w:rsid w:val="00765DD3"/>
    <w:rsid w:val="00771943"/>
    <w:rsid w:val="00782162"/>
    <w:rsid w:val="00782615"/>
    <w:rsid w:val="007848ED"/>
    <w:rsid w:val="00790E9B"/>
    <w:rsid w:val="0079355F"/>
    <w:rsid w:val="007A0E0E"/>
    <w:rsid w:val="007A3170"/>
    <w:rsid w:val="007A345D"/>
    <w:rsid w:val="007A78CA"/>
    <w:rsid w:val="007B59EC"/>
    <w:rsid w:val="007B6C6E"/>
    <w:rsid w:val="007B731A"/>
    <w:rsid w:val="007C0EB9"/>
    <w:rsid w:val="007C10BC"/>
    <w:rsid w:val="007C1338"/>
    <w:rsid w:val="007C28B2"/>
    <w:rsid w:val="007C5417"/>
    <w:rsid w:val="007C5488"/>
    <w:rsid w:val="007C7D76"/>
    <w:rsid w:val="007D05E6"/>
    <w:rsid w:val="007D0E91"/>
    <w:rsid w:val="007D1CFF"/>
    <w:rsid w:val="007D449A"/>
    <w:rsid w:val="007D598C"/>
    <w:rsid w:val="007D653E"/>
    <w:rsid w:val="007D6AEB"/>
    <w:rsid w:val="007E038D"/>
    <w:rsid w:val="007E1F66"/>
    <w:rsid w:val="007E6F39"/>
    <w:rsid w:val="007E7AC0"/>
    <w:rsid w:val="007F085D"/>
    <w:rsid w:val="007F0C48"/>
    <w:rsid w:val="007F2633"/>
    <w:rsid w:val="007F4CD9"/>
    <w:rsid w:val="00803236"/>
    <w:rsid w:val="0080453A"/>
    <w:rsid w:val="00804A43"/>
    <w:rsid w:val="00806796"/>
    <w:rsid w:val="00812BAB"/>
    <w:rsid w:val="00816F22"/>
    <w:rsid w:val="008179D4"/>
    <w:rsid w:val="0082650D"/>
    <w:rsid w:val="00833BE6"/>
    <w:rsid w:val="00836E59"/>
    <w:rsid w:val="0083747E"/>
    <w:rsid w:val="00843EAC"/>
    <w:rsid w:val="0084551F"/>
    <w:rsid w:val="008519BD"/>
    <w:rsid w:val="00852937"/>
    <w:rsid w:val="00856623"/>
    <w:rsid w:val="00856A51"/>
    <w:rsid w:val="008572E2"/>
    <w:rsid w:val="008579C0"/>
    <w:rsid w:val="00863D40"/>
    <w:rsid w:val="00864E28"/>
    <w:rsid w:val="008673C9"/>
    <w:rsid w:val="00867CEF"/>
    <w:rsid w:val="00870A95"/>
    <w:rsid w:val="00871C51"/>
    <w:rsid w:val="00874999"/>
    <w:rsid w:val="0088034D"/>
    <w:rsid w:val="008817AD"/>
    <w:rsid w:val="008832BB"/>
    <w:rsid w:val="0088423C"/>
    <w:rsid w:val="008860DF"/>
    <w:rsid w:val="00886DB9"/>
    <w:rsid w:val="00887A0C"/>
    <w:rsid w:val="00893184"/>
    <w:rsid w:val="00897341"/>
    <w:rsid w:val="008A2480"/>
    <w:rsid w:val="008A30F0"/>
    <w:rsid w:val="008A310B"/>
    <w:rsid w:val="008A3669"/>
    <w:rsid w:val="008A4059"/>
    <w:rsid w:val="008B0A71"/>
    <w:rsid w:val="008B40E1"/>
    <w:rsid w:val="008B461D"/>
    <w:rsid w:val="008C23D2"/>
    <w:rsid w:val="008C39C6"/>
    <w:rsid w:val="008C3DDD"/>
    <w:rsid w:val="008C47FD"/>
    <w:rsid w:val="008C5DC4"/>
    <w:rsid w:val="008C6885"/>
    <w:rsid w:val="008D0926"/>
    <w:rsid w:val="008D2612"/>
    <w:rsid w:val="008D361B"/>
    <w:rsid w:val="008D36AE"/>
    <w:rsid w:val="008D44F9"/>
    <w:rsid w:val="008D4E79"/>
    <w:rsid w:val="008E0893"/>
    <w:rsid w:val="008E0AD0"/>
    <w:rsid w:val="008E1D9C"/>
    <w:rsid w:val="008E3E41"/>
    <w:rsid w:val="008E437B"/>
    <w:rsid w:val="008E461D"/>
    <w:rsid w:val="008E622F"/>
    <w:rsid w:val="008F0C94"/>
    <w:rsid w:val="008F24E5"/>
    <w:rsid w:val="008F382E"/>
    <w:rsid w:val="008F39AD"/>
    <w:rsid w:val="008F4541"/>
    <w:rsid w:val="008F4559"/>
    <w:rsid w:val="008F66E8"/>
    <w:rsid w:val="008F6B08"/>
    <w:rsid w:val="00901D6B"/>
    <w:rsid w:val="00902002"/>
    <w:rsid w:val="009026AE"/>
    <w:rsid w:val="00903EC4"/>
    <w:rsid w:val="00907E2F"/>
    <w:rsid w:val="00907FA2"/>
    <w:rsid w:val="00914ACC"/>
    <w:rsid w:val="00917188"/>
    <w:rsid w:val="00922A1E"/>
    <w:rsid w:val="00924230"/>
    <w:rsid w:val="0093056A"/>
    <w:rsid w:val="00930A6A"/>
    <w:rsid w:val="0093153F"/>
    <w:rsid w:val="009315FD"/>
    <w:rsid w:val="009326BD"/>
    <w:rsid w:val="00932935"/>
    <w:rsid w:val="0093394A"/>
    <w:rsid w:val="009358FB"/>
    <w:rsid w:val="009372F6"/>
    <w:rsid w:val="009418C1"/>
    <w:rsid w:val="00941AE3"/>
    <w:rsid w:val="009445D8"/>
    <w:rsid w:val="00946320"/>
    <w:rsid w:val="00951C9E"/>
    <w:rsid w:val="00952730"/>
    <w:rsid w:val="00953024"/>
    <w:rsid w:val="00954E8D"/>
    <w:rsid w:val="0095585C"/>
    <w:rsid w:val="00955EBD"/>
    <w:rsid w:val="00956C4F"/>
    <w:rsid w:val="009614D3"/>
    <w:rsid w:val="00961C67"/>
    <w:rsid w:val="009646A2"/>
    <w:rsid w:val="009660A4"/>
    <w:rsid w:val="00966629"/>
    <w:rsid w:val="0097481C"/>
    <w:rsid w:val="00975525"/>
    <w:rsid w:val="00977DBC"/>
    <w:rsid w:val="00981EAC"/>
    <w:rsid w:val="00986583"/>
    <w:rsid w:val="00986A2B"/>
    <w:rsid w:val="0098759C"/>
    <w:rsid w:val="00992976"/>
    <w:rsid w:val="00992CAF"/>
    <w:rsid w:val="00995D43"/>
    <w:rsid w:val="009A21A6"/>
    <w:rsid w:val="009A3179"/>
    <w:rsid w:val="009A3585"/>
    <w:rsid w:val="009A4DE5"/>
    <w:rsid w:val="009A7AA0"/>
    <w:rsid w:val="009B026B"/>
    <w:rsid w:val="009B2A8D"/>
    <w:rsid w:val="009B7587"/>
    <w:rsid w:val="009B7C9A"/>
    <w:rsid w:val="009C2961"/>
    <w:rsid w:val="009C389D"/>
    <w:rsid w:val="009C50E0"/>
    <w:rsid w:val="009C5766"/>
    <w:rsid w:val="009C5F1A"/>
    <w:rsid w:val="009C68AE"/>
    <w:rsid w:val="009D00B9"/>
    <w:rsid w:val="009D112D"/>
    <w:rsid w:val="009D13CA"/>
    <w:rsid w:val="009D3402"/>
    <w:rsid w:val="009D758C"/>
    <w:rsid w:val="009E0141"/>
    <w:rsid w:val="009E0CE5"/>
    <w:rsid w:val="009E1AC6"/>
    <w:rsid w:val="009E23E6"/>
    <w:rsid w:val="009E3D9B"/>
    <w:rsid w:val="009E4823"/>
    <w:rsid w:val="009E527A"/>
    <w:rsid w:val="009E5A1E"/>
    <w:rsid w:val="009E7C6C"/>
    <w:rsid w:val="009F0A8A"/>
    <w:rsid w:val="009F16DC"/>
    <w:rsid w:val="009F1C2E"/>
    <w:rsid w:val="009F5133"/>
    <w:rsid w:val="00A003E6"/>
    <w:rsid w:val="00A009F1"/>
    <w:rsid w:val="00A0198B"/>
    <w:rsid w:val="00A04811"/>
    <w:rsid w:val="00A04F94"/>
    <w:rsid w:val="00A06780"/>
    <w:rsid w:val="00A1243D"/>
    <w:rsid w:val="00A13A32"/>
    <w:rsid w:val="00A14CCB"/>
    <w:rsid w:val="00A1623E"/>
    <w:rsid w:val="00A164FC"/>
    <w:rsid w:val="00A16955"/>
    <w:rsid w:val="00A17747"/>
    <w:rsid w:val="00A17BD3"/>
    <w:rsid w:val="00A23275"/>
    <w:rsid w:val="00A23B5D"/>
    <w:rsid w:val="00A24D74"/>
    <w:rsid w:val="00A25343"/>
    <w:rsid w:val="00A25E20"/>
    <w:rsid w:val="00A33ACF"/>
    <w:rsid w:val="00A34A8B"/>
    <w:rsid w:val="00A34E23"/>
    <w:rsid w:val="00A42551"/>
    <w:rsid w:val="00A43B24"/>
    <w:rsid w:val="00A45103"/>
    <w:rsid w:val="00A45CA8"/>
    <w:rsid w:val="00A52363"/>
    <w:rsid w:val="00A5352C"/>
    <w:rsid w:val="00A53FA9"/>
    <w:rsid w:val="00A53FC7"/>
    <w:rsid w:val="00A54B6A"/>
    <w:rsid w:val="00A558B4"/>
    <w:rsid w:val="00A573D3"/>
    <w:rsid w:val="00A62ED4"/>
    <w:rsid w:val="00A65475"/>
    <w:rsid w:val="00A708E6"/>
    <w:rsid w:val="00A72A10"/>
    <w:rsid w:val="00A84468"/>
    <w:rsid w:val="00A8486B"/>
    <w:rsid w:val="00A84CFA"/>
    <w:rsid w:val="00A8618E"/>
    <w:rsid w:val="00A904CA"/>
    <w:rsid w:val="00A91950"/>
    <w:rsid w:val="00A963BE"/>
    <w:rsid w:val="00A96C13"/>
    <w:rsid w:val="00AA1DA2"/>
    <w:rsid w:val="00AA2965"/>
    <w:rsid w:val="00AA36E6"/>
    <w:rsid w:val="00AA378E"/>
    <w:rsid w:val="00AA3EBF"/>
    <w:rsid w:val="00AA45AA"/>
    <w:rsid w:val="00AA609F"/>
    <w:rsid w:val="00AA710B"/>
    <w:rsid w:val="00AB182C"/>
    <w:rsid w:val="00AB4425"/>
    <w:rsid w:val="00AB44C1"/>
    <w:rsid w:val="00AB6061"/>
    <w:rsid w:val="00AB64EA"/>
    <w:rsid w:val="00AB6864"/>
    <w:rsid w:val="00AB707C"/>
    <w:rsid w:val="00AC079E"/>
    <w:rsid w:val="00AC4D91"/>
    <w:rsid w:val="00AC5B84"/>
    <w:rsid w:val="00AC5D71"/>
    <w:rsid w:val="00AC6BDA"/>
    <w:rsid w:val="00AD0DC5"/>
    <w:rsid w:val="00AD1374"/>
    <w:rsid w:val="00AD1D1F"/>
    <w:rsid w:val="00AD23D4"/>
    <w:rsid w:val="00AD3910"/>
    <w:rsid w:val="00AD534F"/>
    <w:rsid w:val="00AD778F"/>
    <w:rsid w:val="00AE20A3"/>
    <w:rsid w:val="00AE351B"/>
    <w:rsid w:val="00AE6B31"/>
    <w:rsid w:val="00AF3589"/>
    <w:rsid w:val="00AF44C1"/>
    <w:rsid w:val="00AF4BC0"/>
    <w:rsid w:val="00AF5CB8"/>
    <w:rsid w:val="00AF6F22"/>
    <w:rsid w:val="00B0014B"/>
    <w:rsid w:val="00B00928"/>
    <w:rsid w:val="00B03B40"/>
    <w:rsid w:val="00B04031"/>
    <w:rsid w:val="00B04FDB"/>
    <w:rsid w:val="00B063A6"/>
    <w:rsid w:val="00B06526"/>
    <w:rsid w:val="00B06705"/>
    <w:rsid w:val="00B07285"/>
    <w:rsid w:val="00B10822"/>
    <w:rsid w:val="00B10D68"/>
    <w:rsid w:val="00B10DAE"/>
    <w:rsid w:val="00B12B17"/>
    <w:rsid w:val="00B1386C"/>
    <w:rsid w:val="00B170E9"/>
    <w:rsid w:val="00B203F8"/>
    <w:rsid w:val="00B20FEC"/>
    <w:rsid w:val="00B2189A"/>
    <w:rsid w:val="00B2230B"/>
    <w:rsid w:val="00B227C6"/>
    <w:rsid w:val="00B238C0"/>
    <w:rsid w:val="00B24DE2"/>
    <w:rsid w:val="00B26577"/>
    <w:rsid w:val="00B26F33"/>
    <w:rsid w:val="00B31BAD"/>
    <w:rsid w:val="00B32BAA"/>
    <w:rsid w:val="00B33891"/>
    <w:rsid w:val="00B35EB1"/>
    <w:rsid w:val="00B35F3E"/>
    <w:rsid w:val="00B36AEF"/>
    <w:rsid w:val="00B41E37"/>
    <w:rsid w:val="00B446D3"/>
    <w:rsid w:val="00B44D9A"/>
    <w:rsid w:val="00B45E08"/>
    <w:rsid w:val="00B46003"/>
    <w:rsid w:val="00B47132"/>
    <w:rsid w:val="00B475E8"/>
    <w:rsid w:val="00B50F4F"/>
    <w:rsid w:val="00B50F60"/>
    <w:rsid w:val="00B553BD"/>
    <w:rsid w:val="00B56D23"/>
    <w:rsid w:val="00B577F7"/>
    <w:rsid w:val="00B60004"/>
    <w:rsid w:val="00B63913"/>
    <w:rsid w:val="00B66A78"/>
    <w:rsid w:val="00B70AAB"/>
    <w:rsid w:val="00B7161A"/>
    <w:rsid w:val="00B74A82"/>
    <w:rsid w:val="00B77646"/>
    <w:rsid w:val="00B80882"/>
    <w:rsid w:val="00B83814"/>
    <w:rsid w:val="00B85ACC"/>
    <w:rsid w:val="00B85C4E"/>
    <w:rsid w:val="00B926CE"/>
    <w:rsid w:val="00B92E0B"/>
    <w:rsid w:val="00BA149C"/>
    <w:rsid w:val="00BA181B"/>
    <w:rsid w:val="00BA3E69"/>
    <w:rsid w:val="00BA5F81"/>
    <w:rsid w:val="00BA6154"/>
    <w:rsid w:val="00BA7011"/>
    <w:rsid w:val="00BA7380"/>
    <w:rsid w:val="00BA79AC"/>
    <w:rsid w:val="00BB0155"/>
    <w:rsid w:val="00BB36D3"/>
    <w:rsid w:val="00BB62E1"/>
    <w:rsid w:val="00BB69A0"/>
    <w:rsid w:val="00BB72BA"/>
    <w:rsid w:val="00BB7609"/>
    <w:rsid w:val="00BC039A"/>
    <w:rsid w:val="00BC0ACC"/>
    <w:rsid w:val="00BC1574"/>
    <w:rsid w:val="00BC23CB"/>
    <w:rsid w:val="00BC3A6A"/>
    <w:rsid w:val="00BC5100"/>
    <w:rsid w:val="00BC5EAD"/>
    <w:rsid w:val="00BD2064"/>
    <w:rsid w:val="00BD39A7"/>
    <w:rsid w:val="00BD421B"/>
    <w:rsid w:val="00BD6CB4"/>
    <w:rsid w:val="00BD7926"/>
    <w:rsid w:val="00BE3C4C"/>
    <w:rsid w:val="00BE3FD9"/>
    <w:rsid w:val="00BE5C4C"/>
    <w:rsid w:val="00BE7EAF"/>
    <w:rsid w:val="00BF1025"/>
    <w:rsid w:val="00BF176B"/>
    <w:rsid w:val="00BF2A10"/>
    <w:rsid w:val="00BF587D"/>
    <w:rsid w:val="00BF66F7"/>
    <w:rsid w:val="00BF7758"/>
    <w:rsid w:val="00C04FDA"/>
    <w:rsid w:val="00C061B8"/>
    <w:rsid w:val="00C12179"/>
    <w:rsid w:val="00C12B3A"/>
    <w:rsid w:val="00C144FF"/>
    <w:rsid w:val="00C14A92"/>
    <w:rsid w:val="00C15889"/>
    <w:rsid w:val="00C1663D"/>
    <w:rsid w:val="00C20004"/>
    <w:rsid w:val="00C20227"/>
    <w:rsid w:val="00C218FC"/>
    <w:rsid w:val="00C23A09"/>
    <w:rsid w:val="00C3266C"/>
    <w:rsid w:val="00C34B1F"/>
    <w:rsid w:val="00C37D56"/>
    <w:rsid w:val="00C41981"/>
    <w:rsid w:val="00C43099"/>
    <w:rsid w:val="00C4314A"/>
    <w:rsid w:val="00C46B67"/>
    <w:rsid w:val="00C46BC0"/>
    <w:rsid w:val="00C52F31"/>
    <w:rsid w:val="00C5503B"/>
    <w:rsid w:val="00C61BE4"/>
    <w:rsid w:val="00C678A2"/>
    <w:rsid w:val="00C67EE3"/>
    <w:rsid w:val="00C70015"/>
    <w:rsid w:val="00C73FCA"/>
    <w:rsid w:val="00C7408D"/>
    <w:rsid w:val="00C743F5"/>
    <w:rsid w:val="00C75F58"/>
    <w:rsid w:val="00C76023"/>
    <w:rsid w:val="00C76CF2"/>
    <w:rsid w:val="00C77EE0"/>
    <w:rsid w:val="00C8279E"/>
    <w:rsid w:val="00C84650"/>
    <w:rsid w:val="00C86D97"/>
    <w:rsid w:val="00C875EB"/>
    <w:rsid w:val="00C9043D"/>
    <w:rsid w:val="00C9202D"/>
    <w:rsid w:val="00C921EF"/>
    <w:rsid w:val="00C92BFE"/>
    <w:rsid w:val="00C930D5"/>
    <w:rsid w:val="00C94F6B"/>
    <w:rsid w:val="00C95581"/>
    <w:rsid w:val="00CA0DBF"/>
    <w:rsid w:val="00CA1C82"/>
    <w:rsid w:val="00CA2A35"/>
    <w:rsid w:val="00CA423A"/>
    <w:rsid w:val="00CA65C9"/>
    <w:rsid w:val="00CA65D6"/>
    <w:rsid w:val="00CA6D68"/>
    <w:rsid w:val="00CB001F"/>
    <w:rsid w:val="00CB245F"/>
    <w:rsid w:val="00CB7FD6"/>
    <w:rsid w:val="00CC04FC"/>
    <w:rsid w:val="00CC1BB2"/>
    <w:rsid w:val="00CC278A"/>
    <w:rsid w:val="00CC2862"/>
    <w:rsid w:val="00CC5AA4"/>
    <w:rsid w:val="00CC5CBC"/>
    <w:rsid w:val="00CC6AC9"/>
    <w:rsid w:val="00CD18CC"/>
    <w:rsid w:val="00CD6939"/>
    <w:rsid w:val="00CE149C"/>
    <w:rsid w:val="00CE1EB6"/>
    <w:rsid w:val="00CE6ABA"/>
    <w:rsid w:val="00CF007C"/>
    <w:rsid w:val="00CF0A0A"/>
    <w:rsid w:val="00CF2030"/>
    <w:rsid w:val="00CF211D"/>
    <w:rsid w:val="00CF2D92"/>
    <w:rsid w:val="00CF4714"/>
    <w:rsid w:val="00CF5B47"/>
    <w:rsid w:val="00CF67D3"/>
    <w:rsid w:val="00CF79EA"/>
    <w:rsid w:val="00D0009A"/>
    <w:rsid w:val="00D02527"/>
    <w:rsid w:val="00D02BEF"/>
    <w:rsid w:val="00D07766"/>
    <w:rsid w:val="00D108E1"/>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6A00"/>
    <w:rsid w:val="00D27738"/>
    <w:rsid w:val="00D27775"/>
    <w:rsid w:val="00D40635"/>
    <w:rsid w:val="00D41594"/>
    <w:rsid w:val="00D415FF"/>
    <w:rsid w:val="00D436BA"/>
    <w:rsid w:val="00D51CC5"/>
    <w:rsid w:val="00D51E0E"/>
    <w:rsid w:val="00D5268F"/>
    <w:rsid w:val="00D54EBB"/>
    <w:rsid w:val="00D55BC8"/>
    <w:rsid w:val="00D603FE"/>
    <w:rsid w:val="00D626FF"/>
    <w:rsid w:val="00D64898"/>
    <w:rsid w:val="00D65109"/>
    <w:rsid w:val="00D66E2E"/>
    <w:rsid w:val="00D700A8"/>
    <w:rsid w:val="00D709D2"/>
    <w:rsid w:val="00D72ED1"/>
    <w:rsid w:val="00D73D3B"/>
    <w:rsid w:val="00D74486"/>
    <w:rsid w:val="00D75E1C"/>
    <w:rsid w:val="00D76118"/>
    <w:rsid w:val="00D7638D"/>
    <w:rsid w:val="00D82662"/>
    <w:rsid w:val="00D83CFC"/>
    <w:rsid w:val="00D842D3"/>
    <w:rsid w:val="00D850A1"/>
    <w:rsid w:val="00D91E7F"/>
    <w:rsid w:val="00D92516"/>
    <w:rsid w:val="00D93320"/>
    <w:rsid w:val="00D9451A"/>
    <w:rsid w:val="00D9534A"/>
    <w:rsid w:val="00D9655B"/>
    <w:rsid w:val="00D97EA2"/>
    <w:rsid w:val="00DA15F5"/>
    <w:rsid w:val="00DA2FD2"/>
    <w:rsid w:val="00DA6A25"/>
    <w:rsid w:val="00DA77FC"/>
    <w:rsid w:val="00DB0F1F"/>
    <w:rsid w:val="00DB1C9C"/>
    <w:rsid w:val="00DB27B1"/>
    <w:rsid w:val="00DB5F21"/>
    <w:rsid w:val="00DB7D46"/>
    <w:rsid w:val="00DC0666"/>
    <w:rsid w:val="00DC2352"/>
    <w:rsid w:val="00DC2B5C"/>
    <w:rsid w:val="00DC336B"/>
    <w:rsid w:val="00DC3E49"/>
    <w:rsid w:val="00DC3FE1"/>
    <w:rsid w:val="00DC5706"/>
    <w:rsid w:val="00DC6752"/>
    <w:rsid w:val="00DC7068"/>
    <w:rsid w:val="00DC756C"/>
    <w:rsid w:val="00DD076F"/>
    <w:rsid w:val="00DE1F58"/>
    <w:rsid w:val="00DE3465"/>
    <w:rsid w:val="00DF331F"/>
    <w:rsid w:val="00DF4FCA"/>
    <w:rsid w:val="00DF67BD"/>
    <w:rsid w:val="00E04003"/>
    <w:rsid w:val="00E07CFA"/>
    <w:rsid w:val="00E101B8"/>
    <w:rsid w:val="00E1317B"/>
    <w:rsid w:val="00E13407"/>
    <w:rsid w:val="00E135BB"/>
    <w:rsid w:val="00E13EDD"/>
    <w:rsid w:val="00E140A8"/>
    <w:rsid w:val="00E2171A"/>
    <w:rsid w:val="00E21921"/>
    <w:rsid w:val="00E230C0"/>
    <w:rsid w:val="00E232E4"/>
    <w:rsid w:val="00E23566"/>
    <w:rsid w:val="00E23BDF"/>
    <w:rsid w:val="00E24CE5"/>
    <w:rsid w:val="00E25594"/>
    <w:rsid w:val="00E36BC9"/>
    <w:rsid w:val="00E40273"/>
    <w:rsid w:val="00E40EF5"/>
    <w:rsid w:val="00E42568"/>
    <w:rsid w:val="00E43BA4"/>
    <w:rsid w:val="00E45FF3"/>
    <w:rsid w:val="00E50988"/>
    <w:rsid w:val="00E510BC"/>
    <w:rsid w:val="00E51B8C"/>
    <w:rsid w:val="00E604EA"/>
    <w:rsid w:val="00E62FDD"/>
    <w:rsid w:val="00E65A42"/>
    <w:rsid w:val="00E65ED1"/>
    <w:rsid w:val="00E6785D"/>
    <w:rsid w:val="00E70C2D"/>
    <w:rsid w:val="00E71460"/>
    <w:rsid w:val="00E74434"/>
    <w:rsid w:val="00E76AF6"/>
    <w:rsid w:val="00E80A90"/>
    <w:rsid w:val="00E81765"/>
    <w:rsid w:val="00E824F8"/>
    <w:rsid w:val="00E84CCD"/>
    <w:rsid w:val="00E85AAA"/>
    <w:rsid w:val="00E86B31"/>
    <w:rsid w:val="00E8727F"/>
    <w:rsid w:val="00E9264F"/>
    <w:rsid w:val="00E940BE"/>
    <w:rsid w:val="00E966F4"/>
    <w:rsid w:val="00E967E7"/>
    <w:rsid w:val="00E96865"/>
    <w:rsid w:val="00E97CDF"/>
    <w:rsid w:val="00EA303C"/>
    <w:rsid w:val="00EA6082"/>
    <w:rsid w:val="00EB1B13"/>
    <w:rsid w:val="00EB1FC2"/>
    <w:rsid w:val="00EB4ACD"/>
    <w:rsid w:val="00EB62A6"/>
    <w:rsid w:val="00EB70FE"/>
    <w:rsid w:val="00EB7E34"/>
    <w:rsid w:val="00EC2855"/>
    <w:rsid w:val="00EC2967"/>
    <w:rsid w:val="00EC3B08"/>
    <w:rsid w:val="00EC4EFD"/>
    <w:rsid w:val="00EC5F9C"/>
    <w:rsid w:val="00EC6E35"/>
    <w:rsid w:val="00ED2221"/>
    <w:rsid w:val="00ED71B9"/>
    <w:rsid w:val="00EE3E30"/>
    <w:rsid w:val="00EF3949"/>
    <w:rsid w:val="00EF6028"/>
    <w:rsid w:val="00EF77C2"/>
    <w:rsid w:val="00F01CA1"/>
    <w:rsid w:val="00F0227D"/>
    <w:rsid w:val="00F0401D"/>
    <w:rsid w:val="00F0526B"/>
    <w:rsid w:val="00F07665"/>
    <w:rsid w:val="00F07BD9"/>
    <w:rsid w:val="00F10D1C"/>
    <w:rsid w:val="00F11ED7"/>
    <w:rsid w:val="00F1324F"/>
    <w:rsid w:val="00F1336B"/>
    <w:rsid w:val="00F14111"/>
    <w:rsid w:val="00F176E3"/>
    <w:rsid w:val="00F22524"/>
    <w:rsid w:val="00F25712"/>
    <w:rsid w:val="00F32465"/>
    <w:rsid w:val="00F33C17"/>
    <w:rsid w:val="00F35B86"/>
    <w:rsid w:val="00F3664B"/>
    <w:rsid w:val="00F41C51"/>
    <w:rsid w:val="00F43C17"/>
    <w:rsid w:val="00F447E2"/>
    <w:rsid w:val="00F45971"/>
    <w:rsid w:val="00F469EC"/>
    <w:rsid w:val="00F515D0"/>
    <w:rsid w:val="00F52A53"/>
    <w:rsid w:val="00F531E6"/>
    <w:rsid w:val="00F53E70"/>
    <w:rsid w:val="00F54FD5"/>
    <w:rsid w:val="00F564E1"/>
    <w:rsid w:val="00F572C5"/>
    <w:rsid w:val="00F604AE"/>
    <w:rsid w:val="00F61C7C"/>
    <w:rsid w:val="00F6206C"/>
    <w:rsid w:val="00F62F66"/>
    <w:rsid w:val="00F6347A"/>
    <w:rsid w:val="00F6366B"/>
    <w:rsid w:val="00F63EBC"/>
    <w:rsid w:val="00F63F4F"/>
    <w:rsid w:val="00F648E5"/>
    <w:rsid w:val="00F66954"/>
    <w:rsid w:val="00F72977"/>
    <w:rsid w:val="00F7420B"/>
    <w:rsid w:val="00F74FBB"/>
    <w:rsid w:val="00F77B6B"/>
    <w:rsid w:val="00F83858"/>
    <w:rsid w:val="00F83AE5"/>
    <w:rsid w:val="00F853B4"/>
    <w:rsid w:val="00F856C1"/>
    <w:rsid w:val="00F87104"/>
    <w:rsid w:val="00F904CA"/>
    <w:rsid w:val="00F9168D"/>
    <w:rsid w:val="00F92068"/>
    <w:rsid w:val="00F926B5"/>
    <w:rsid w:val="00F92C97"/>
    <w:rsid w:val="00F96E93"/>
    <w:rsid w:val="00F97E16"/>
    <w:rsid w:val="00FA106B"/>
    <w:rsid w:val="00FA25E3"/>
    <w:rsid w:val="00FA55D7"/>
    <w:rsid w:val="00FA5BED"/>
    <w:rsid w:val="00FA7264"/>
    <w:rsid w:val="00FA791D"/>
    <w:rsid w:val="00FB1BB3"/>
    <w:rsid w:val="00FB2937"/>
    <w:rsid w:val="00FB591D"/>
    <w:rsid w:val="00FB5F26"/>
    <w:rsid w:val="00FB6207"/>
    <w:rsid w:val="00FB750F"/>
    <w:rsid w:val="00FC2A5B"/>
    <w:rsid w:val="00FC5E97"/>
    <w:rsid w:val="00FD0516"/>
    <w:rsid w:val="00FD0A69"/>
    <w:rsid w:val="00FD2F86"/>
    <w:rsid w:val="00FD3D1D"/>
    <w:rsid w:val="00FD5810"/>
    <w:rsid w:val="00FD608F"/>
    <w:rsid w:val="00FD6406"/>
    <w:rsid w:val="00FD6A07"/>
    <w:rsid w:val="00FD78E5"/>
    <w:rsid w:val="00FE08F2"/>
    <w:rsid w:val="00FE2728"/>
    <w:rsid w:val="00FE5034"/>
    <w:rsid w:val="00FE63AA"/>
    <w:rsid w:val="00FE7066"/>
    <w:rsid w:val="00FE76DD"/>
    <w:rsid w:val="00FF18DB"/>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D10A9659-E66D-4A3D-9BFF-F5933C626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4F5C1E"/>
    <w:pPr>
      <w:numPr>
        <w:numId w:val="5"/>
      </w:numPr>
      <w:ind w:left="1530" w:hanging="153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13"/>
      </w:numPr>
    </w:pPr>
    <w:rPr>
      <w:rFonts w:ascii="Times New Roman" w:eastAsia="MS Mincho" w:hAnsi="Times New Roman" w:cs="Times New Roman"/>
      <w:sz w:val="24"/>
      <w:lang w:val="en-US" w:eastAsia="x-none"/>
    </w:rPr>
  </w:style>
  <w:style w:type="character" w:customStyle="1" w:styleId="fontstyle01">
    <w:name w:val="fontstyle01"/>
    <w:basedOn w:val="DefaultParagraphFont"/>
    <w:rsid w:val="0037309A"/>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90e/Docs/RP-20268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0e/Docs/RP-202689.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2.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8E8A3A-7114-4A09-85DE-82CD62FFD286}">
  <ds:schemaRefs>
    <ds:schemaRef ds:uri="http://schemas.microsoft.com/sharepoint/v3/contenttype/forms"/>
  </ds:schemaRefs>
</ds:datastoreItem>
</file>

<file path=customXml/itemProps4.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MTI Tdoc</Template>
  <TotalTime>3247</TotalTime>
  <Pages>5</Pages>
  <Words>1694</Words>
  <Characters>9660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390</cp:revision>
  <dcterms:created xsi:type="dcterms:W3CDTF">2019-05-25T13:37:00Z</dcterms:created>
  <dcterms:modified xsi:type="dcterms:W3CDTF">2021-01-18T01:31:00Z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